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Montserrat Medium" w:cs="Montserrat Medium" w:eastAsia="Montserrat Medium" w:hAnsi="Montserrat Medium"/>
          <w:b w:val="1"/>
          <w:color w:val="10312b"/>
          <w:sz w:val="56"/>
          <w:szCs w:val="56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1a443a"/>
          <w:sz w:val="56"/>
          <w:szCs w:val="56"/>
          <w:rtl w:val="0"/>
        </w:rPr>
        <w:t xml:space="preserve">Programa Municipal de Desarrollo Urbano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Montserrat" w:cs="Montserrat" w:eastAsia="Montserrat" w:hAnsi="Montserrat"/>
          <w:color w:val="1a443a"/>
          <w:sz w:val="42"/>
          <w:szCs w:val="42"/>
        </w:rPr>
      </w:pPr>
      <w:r w:rsidDel="00000000" w:rsidR="00000000" w:rsidRPr="00000000">
        <w:rPr>
          <w:rFonts w:ascii="Montserrat" w:cs="Montserrat" w:eastAsia="Montserrat" w:hAnsi="Montserrat"/>
          <w:color w:val="1a443a"/>
          <w:sz w:val="42"/>
          <w:szCs w:val="42"/>
          <w:rtl w:val="0"/>
        </w:rPr>
        <w:t xml:space="preserve">Tamazula de Gordiano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Montserrat" w:cs="Montserrat" w:eastAsia="Montserrat" w:hAnsi="Montserrat"/>
          <w:color w:val="1a443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color w:val="1a443a"/>
          <w:sz w:val="28"/>
          <w:szCs w:val="28"/>
          <w:rtl w:val="0"/>
        </w:rPr>
        <w:t xml:space="preserve">Noviembre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60" w:line="259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 SemiBold" w:cs="Montserrat SemiBold" w:eastAsia="Montserrat SemiBold" w:hAnsi="Montserrat SemiBold"/>
          <w:color w:val="10312b"/>
          <w:sz w:val="42"/>
          <w:szCs w:val="4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4086943</wp:posOffset>
            </wp:positionH>
            <wp:positionV relativeFrom="margin">
              <wp:posOffset>7891780</wp:posOffset>
            </wp:positionV>
            <wp:extent cx="563245" cy="732790"/>
            <wp:effectExtent b="0" l="0" r="0" t="0"/>
            <wp:wrapSquare wrapText="bothSides" distB="0" distT="0" distL="114300" distR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245" cy="7327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Montserrat SemiBold" w:cs="Montserrat SemiBold" w:eastAsia="Montserrat SemiBold" w:hAnsi="Montserrat SemiBold"/>
          <w:color w:val="10312b"/>
          <w:sz w:val="42"/>
          <w:szCs w:val="4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5088835</wp:posOffset>
            </wp:positionH>
            <wp:positionV relativeFrom="margin">
              <wp:posOffset>7873861</wp:posOffset>
            </wp:positionV>
            <wp:extent cx="796290" cy="751205"/>
            <wp:effectExtent b="0" l="0" r="0" t="0"/>
            <wp:wrapSquare wrapText="bothSides" distB="0" distT="0" distL="114300" distR="11430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75120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Montserrat SemiBold" w:cs="Montserrat SemiBold" w:eastAsia="Montserrat SemiBold" w:hAnsi="Montserrat SemiBold"/>
          <w:color w:val="10312b"/>
          <w:sz w:val="42"/>
          <w:szCs w:val="4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-477078</wp:posOffset>
            </wp:positionH>
            <wp:positionV relativeFrom="margin">
              <wp:posOffset>7802299</wp:posOffset>
            </wp:positionV>
            <wp:extent cx="4415790" cy="901065"/>
            <wp:effectExtent b="0" l="0" r="0" t="0"/>
            <wp:wrapSquare wrapText="bothSides" distB="0" distT="0" distL="114300" distR="11430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15790" cy="90106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3"/>
        <w:jc w:val="both"/>
        <w:rPr/>
      </w:pPr>
      <w:bookmarkStart w:colFirst="0" w:colLast="0" w:name="_m3t0o6plmwbi" w:id="0"/>
      <w:bookmarkEnd w:id="0"/>
      <w:r w:rsidDel="00000000" w:rsidR="00000000" w:rsidRPr="00000000">
        <w:rPr>
          <w:rFonts w:ascii="Montserrat" w:cs="Montserrat" w:eastAsia="Montserrat" w:hAnsi="Montserrat"/>
          <w:rtl w:val="0"/>
        </w:rPr>
        <w:t xml:space="preserve">2.7 Congruencia de las estrategia con las estrategias y acciones de los instrumentos de nivel superior en los ámbitos específicos de planeación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00" w:before="20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El PMDU presenta congruencia con lineamientos, acciones y estrategias, plasmadas en los diferentes niveles de planeación Federal, Estatal y Municipal. Su ejecución tiene como base elementos Técnicos, Jurídicos y Administrativos planteados.</w:t>
      </w:r>
    </w:p>
    <w:tbl>
      <w:tblPr>
        <w:tblStyle w:val="Table1"/>
        <w:tblW w:w="88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00"/>
        <w:gridCol w:w="3510"/>
        <w:gridCol w:w="3855"/>
        <w:tblGridChange w:id="0">
          <w:tblGrid>
            <w:gridCol w:w="1500"/>
            <w:gridCol w:w="3510"/>
            <w:gridCol w:w="3855"/>
          </w:tblGrid>
        </w:tblGridChange>
      </w:tblGrid>
      <w:tr>
        <w:trPr>
          <w:cantSplit w:val="0"/>
          <w:trHeight w:val="285" w:hRule="atLeast"/>
          <w:tblHeader w:val="0"/>
        </w:trPr>
        <w:tc>
          <w:tcPr>
            <w:vMerge w:val="restart"/>
            <w:tcBorders>
              <w:top w:color="10312b" w:space="0" w:sz="5" w:val="single"/>
              <w:left w:color="10312b" w:space="0" w:sz="5" w:val="single"/>
              <w:bottom w:color="10312b" w:space="0" w:sz="5" w:val="single"/>
              <w:right w:color="10312b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0"/>
                <w:szCs w:val="20"/>
                <w:rtl w:val="0"/>
              </w:rPr>
              <w:t xml:space="preserve">Orden Federal</w:t>
            </w:r>
          </w:p>
        </w:tc>
        <w:tc>
          <w:tcPr>
            <w:gridSpan w:val="2"/>
            <w:tcBorders>
              <w:top w:color="10312b" w:space="0" w:sz="5" w:val="single"/>
              <w:left w:color="000000" w:space="0" w:sz="0" w:val="nil"/>
              <w:bottom w:color="10312b" w:space="0" w:sz="5" w:val="single"/>
              <w:right w:color="10312b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0"/>
                <w:szCs w:val="20"/>
                <w:rtl w:val="0"/>
              </w:rPr>
              <w:t xml:space="preserve">Constitución Política de los Estados Unidos Mexicanos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vMerge w:val="continue"/>
            <w:tcBorders>
              <w:top w:color="10312b" w:space="0" w:sz="5" w:val="single"/>
              <w:left w:color="10312b" w:space="0" w:sz="5" w:val="single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0"/>
                <w:szCs w:val="20"/>
                <w:rtl w:val="0"/>
              </w:rPr>
              <w:t xml:space="preserve">Desarrollo Urbano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0"/>
                <w:szCs w:val="20"/>
                <w:rtl w:val="0"/>
              </w:rPr>
              <w:t xml:space="preserve">Equilibrio Ecológico y Protección al Ambiente</w:t>
            </w:r>
          </w:p>
        </w:tc>
      </w:tr>
      <w:tr>
        <w:trPr>
          <w:cantSplit w:val="0"/>
          <w:trHeight w:val="2055" w:hRule="atLeast"/>
          <w:tblHeader w:val="0"/>
        </w:trPr>
        <w:tc>
          <w:tcPr>
            <w:vMerge w:val="continue"/>
            <w:tcBorders>
              <w:top w:color="10312b" w:space="0" w:sz="5" w:val="single"/>
              <w:left w:color="10312b" w:space="0" w:sz="5" w:val="single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00" w:before="20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Ley General de Asentamientos Humanos, Ordenamiento Territorial y Desarrollo Urbano -LGAHOTDU.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Ley Federal sobre Monumentos y Zonas Arqueológicas, Artísticas e Históricas - LFMZA.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Ley Agraria - LA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Ley de Caminos y Puentes y Autotransporte Federal – LCPAF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Ley General del Equilibrio Ecológico y la Protección al Ambiente – LGEEPA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Ley General de Cambio Climático - LGCC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Ley General de Prevención y Gestión Integral de los Residuos - LGPGI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Ley de Planeación - LP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Ley de Vivienda - LV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Ley de Aguas Nacionales -LAN </w:t>
            </w:r>
          </w:p>
        </w:tc>
      </w:tr>
      <w:tr>
        <w:trPr>
          <w:cantSplit w:val="0"/>
          <w:trHeight w:val="2865" w:hRule="atLeast"/>
          <w:tblHeader w:val="0"/>
        </w:trPr>
        <w:tc>
          <w:tcPr>
            <w:vMerge w:val="continue"/>
            <w:tcBorders>
              <w:top w:color="10312b" w:space="0" w:sz="5" w:val="single"/>
              <w:left w:color="10312b" w:space="0" w:sz="5" w:val="single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00" w:before="20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NOM-001-SEDATU -2021 Espacios públicos en los A.H.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NOM-002-SEDATU-2022 – Equipamiento en los instrumentos que conforman el Sistema General de Planeación Territorial. Clasificación terminología y aplicación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PROY-NOM-003-SEDATU-2023 – Lineamientos para el fortalecimiento del sistema territorial para resistir, adaptarse, recuperarse ante amenazas de origen natural y del cambio climático a través del ordenamiento territorial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NOM-001-SEMARNAT-2021 (primera ver. 1996) – Límites máximos permisibles de contaminantes en las descargas residuales en aguas y bienes nacionales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NOM-002-SEMARNAT-1996 Límites máximos permisibles de contaminantes en las descargas de aguas residuales a los sistemas de alcantarillado urbano o municipal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NOM-083-SEMARNAT-2003, Especificaciones de protección ambiental para la selección del sitio, diseño, construcción, operación, monitoreo, clausura y obras complementarias de un sitio de disposición final de residuos sólidos urbanos y de manejo especial.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10312b" w:space="0" w:sz="5" w:val="single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0"/>
                <w:szCs w:val="20"/>
                <w:rtl w:val="0"/>
              </w:rPr>
              <w:t xml:space="preserve">Orden Estatal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0"/>
                <w:szCs w:val="20"/>
                <w:rtl w:val="0"/>
              </w:rPr>
              <w:t xml:space="preserve">Constitución Política del Estado de Jalisco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10312b" w:space="0" w:sz="5" w:val="single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0"/>
                <w:szCs w:val="20"/>
                <w:rtl w:val="0"/>
              </w:rPr>
              <w:t xml:space="preserve">Desarrollo Urbano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0"/>
                <w:szCs w:val="20"/>
                <w:rtl w:val="0"/>
              </w:rPr>
              <w:t xml:space="preserve">Equilibrio Ecológico y Protección al Ambiente</w:t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10312b" w:space="0" w:sz="5" w:val="single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200" w:before="20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Código Urbano para el Estado de Jalisco – CUEJ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Ley de Patrimonio Cultural del Estado de Jalisco y sus Municipios – LPCJ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Ley Estatal del Equilibrio Ecológico y la Protección al Ambiente – LEEEPA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Ley para la Acción ante el Cambio Climático del Estado de Jalisco -LACC.</w:t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10312b" w:space="0" w:sz="5" w:val="single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200" w:before="20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240" w:lineRule="auto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numPr>
                <w:ilvl w:val="0"/>
                <w:numId w:val="5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Reglamento de la LEEEPA en materia de Impacto Ambiental - RMIA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10312b" w:space="0" w:sz="5" w:val="single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0"/>
                <w:szCs w:val="20"/>
                <w:rtl w:val="0"/>
              </w:rPr>
              <w:t xml:space="preserve">Orden Municipal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0"/>
                <w:szCs w:val="20"/>
                <w:rtl w:val="0"/>
              </w:rPr>
              <w:t xml:space="preserve">Desarrollo Urbano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0"/>
                <w:szCs w:val="20"/>
                <w:rtl w:val="0"/>
              </w:rPr>
              <w:t xml:space="preserve">Equilibrio Ecológico y Protección al Ambiente</w:t>
            </w:r>
          </w:p>
        </w:tc>
      </w:tr>
      <w:tr>
        <w:trPr>
          <w:cantSplit w:val="0"/>
          <w:trHeight w:val="388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10312b" w:space="0" w:sz="5" w:val="single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after="200" w:before="20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Reglamento de zonificación y control territorial de Tamazula de Gordiano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Nuevo Reglamento para el funcionamiento de giros comerciales, industriales y de prestación de servicios en el Municipio de Tamazula de Gordiano, Jalisco.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Reglamento de regularización y titulación de predios urbanos del municipio de Tamazula de Gordiano, Jalisco.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Reglamento para la prestación de los Servicios de Agua Potable, Alcantarillado y Saneamiento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Reglamento de Participación Ciudadana del Municipio de Tamazula de Gordiano, Jal.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Reglamento Giros Comerciales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Reglamento de Protección Civil y Bomberos para el Municipio de Tamazula de Gordiano, Jalisco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10312b" w:space="0" w:sz="5" w:val="single"/>
              <w:right w:color="10312b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Reglamento de protección al medio ambiente y cambio climático del Municipio de Tamazula de Gordiano, Jalisco.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Reglamento de Desarrollo Rural Sustentable.</w:t>
            </w:r>
          </w:p>
        </w:tc>
      </w:tr>
    </w:tbl>
    <w:p w:rsidR="00000000" w:rsidDel="00000000" w:rsidP="00000000" w:rsidRDefault="00000000" w:rsidRPr="00000000" w14:paraId="00000046">
      <w:pPr>
        <w:spacing w:line="240" w:lineRule="auto"/>
        <w:jc w:val="center"/>
        <w:rPr>
          <w:rFonts w:ascii="Montserrat" w:cs="Montserrat" w:eastAsia="Montserrat" w:hAnsi="Montserrat"/>
          <w:sz w:val="17"/>
          <w:szCs w:val="17"/>
        </w:rPr>
      </w:pPr>
      <w:r w:rsidDel="00000000" w:rsidR="00000000" w:rsidRPr="00000000">
        <w:rPr>
          <w:rFonts w:ascii="Montserrat" w:cs="Montserrat" w:eastAsia="Montserrat" w:hAnsi="Montserrat"/>
          <w:sz w:val="17"/>
          <w:szCs w:val="17"/>
          <w:rtl w:val="0"/>
        </w:rPr>
        <w:t xml:space="preserve">Tabla 1. Congruencia del Programa Municipal de Desarrollo Urbano de Tamazula de Gordiano, Jalisco, con Leyes y Reglamentos de los órdenes federal, estatal y municipal.</w:t>
      </w:r>
    </w:p>
    <w:p w:rsidR="00000000" w:rsidDel="00000000" w:rsidP="00000000" w:rsidRDefault="00000000" w:rsidRPr="00000000" w14:paraId="00000047">
      <w:pPr>
        <w:spacing w:after="200" w:line="240" w:lineRule="auto"/>
        <w:jc w:val="center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17"/>
          <w:szCs w:val="17"/>
          <w:rtl w:val="0"/>
        </w:rPr>
        <w:t xml:space="preserve">Fuente Elaboración propia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 SemiBol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Montserrat Medium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SemiBold-regular.ttf"/><Relationship Id="rId2" Type="http://schemas.openxmlformats.org/officeDocument/2006/relationships/font" Target="fonts/MontserratSemiBold-bold.ttf"/><Relationship Id="rId3" Type="http://schemas.openxmlformats.org/officeDocument/2006/relationships/font" Target="fonts/MontserratSemiBold-italic.ttf"/><Relationship Id="rId4" Type="http://schemas.openxmlformats.org/officeDocument/2006/relationships/font" Target="fonts/MontserratSemiBold-boldItalic.ttf"/><Relationship Id="rId11" Type="http://schemas.openxmlformats.org/officeDocument/2006/relationships/font" Target="fonts/MontserratMedium-italic.ttf"/><Relationship Id="rId10" Type="http://schemas.openxmlformats.org/officeDocument/2006/relationships/font" Target="fonts/MontserratMedium-bold.ttf"/><Relationship Id="rId12" Type="http://schemas.openxmlformats.org/officeDocument/2006/relationships/font" Target="fonts/MontserratMedium-boldItalic.ttf"/><Relationship Id="rId9" Type="http://schemas.openxmlformats.org/officeDocument/2006/relationships/font" Target="fonts/MontserratMedium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