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before="240" w:line="259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Montserrat Medium" w:cs="Montserrat Medium" w:eastAsia="Montserrat Medium" w:hAnsi="Montserrat Medium"/>
          <w:b w:val="1"/>
          <w:color w:val="10312b"/>
          <w:sz w:val="56"/>
          <w:szCs w:val="56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a443a"/>
          <w:sz w:val="56"/>
          <w:szCs w:val="56"/>
          <w:rtl w:val="0"/>
        </w:rPr>
        <w:t xml:space="preserve">Programa Municipal de Desarrollo Urbano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42"/>
          <w:szCs w:val="42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42"/>
          <w:szCs w:val="42"/>
          <w:rtl w:val="0"/>
        </w:rPr>
        <w:t xml:space="preserve">Tamazula de Gordiano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color w:val="1a443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color w:val="1a443a"/>
          <w:sz w:val="28"/>
          <w:szCs w:val="28"/>
          <w:rtl w:val="0"/>
        </w:rPr>
        <w:t xml:space="preserve">Noviembre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before="240" w:line="259" w:lineRule="auto"/>
        <w:jc w:val="both"/>
        <w:rPr>
          <w:rFonts w:ascii="Montserrat Medium" w:cs="Montserrat Medium" w:eastAsia="Montserrat Medium" w:hAnsi="Montserrat Medium"/>
          <w:color w:val="1031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4086943</wp:posOffset>
            </wp:positionH>
            <wp:positionV relativeFrom="margin">
              <wp:posOffset>7891780</wp:posOffset>
            </wp:positionV>
            <wp:extent cx="563245" cy="732790"/>
            <wp:effectExtent b="0" l="0" r="0" t="0"/>
            <wp:wrapSquare wrapText="bothSides" distB="0" distT="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245" cy="7327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5088835</wp:posOffset>
            </wp:positionH>
            <wp:positionV relativeFrom="margin">
              <wp:posOffset>7873861</wp:posOffset>
            </wp:positionV>
            <wp:extent cx="796290" cy="751205"/>
            <wp:effectExtent b="0" l="0" r="0" t="0"/>
            <wp:wrapSquare wrapText="bothSides" distB="0" distT="0" distL="114300" distR="11430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7512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SemiBold" w:cs="Montserrat SemiBold" w:eastAsia="Montserrat SemiBold" w:hAnsi="Montserrat SemiBold"/>
          <w:color w:val="10312b"/>
          <w:sz w:val="42"/>
          <w:szCs w:val="4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-477078</wp:posOffset>
            </wp:positionH>
            <wp:positionV relativeFrom="margin">
              <wp:posOffset>7802299</wp:posOffset>
            </wp:positionV>
            <wp:extent cx="4415790" cy="901065"/>
            <wp:effectExtent b="0" l="0" r="0" t="0"/>
            <wp:wrapSquare wrapText="bothSides" distB="0" distT="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15790" cy="9010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1"/>
        <w:jc w:val="center"/>
        <w:rPr>
          <w:rFonts w:ascii="Montserrat" w:cs="Montserrat" w:eastAsia="Montserrat" w:hAnsi="Montserrat"/>
        </w:rPr>
      </w:pPr>
      <w:bookmarkStart w:colFirst="0" w:colLast="0" w:name="_7qebuwfy8m3q" w:id="0"/>
      <w:bookmarkEnd w:id="0"/>
      <w:r w:rsidDel="00000000" w:rsidR="00000000" w:rsidRPr="00000000">
        <w:rPr>
          <w:rFonts w:ascii="Montserrat" w:cs="Montserrat" w:eastAsia="Montserrat" w:hAnsi="Montserrat"/>
          <w:rtl w:val="0"/>
        </w:rPr>
        <w:t xml:space="preserve">Listado de actividades</w:t>
      </w:r>
    </w:p>
    <w:p w:rsidR="00000000" w:rsidDel="00000000" w:rsidP="00000000" w:rsidRDefault="00000000" w:rsidRPr="00000000" w14:paraId="00000011">
      <w:pPr>
        <w:spacing w:after="200" w:lineRule="auto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Dentro de este anexo se enlistan las actividades que se desarrollan en las áreas rústicas agropecuarias dentro del municipio de Tamazula de Gordiano.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Instalación acuícola: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Actividades que implican la construcción de instalaciones destinadas a la producción de especies de fauna acuática, mediante la implementación de técnicas de cultivo, cría y engorda de especies para propósitos comerciales a pequeña escala.</w:t>
      </w:r>
    </w:p>
    <w:p w:rsidR="00000000" w:rsidDel="00000000" w:rsidP="00000000" w:rsidRDefault="00000000" w:rsidRPr="00000000" w14:paraId="00000013">
      <w:pPr>
        <w:widowControl w:val="0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Ganadería intensiva: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Ganadería que se desarrolla en edificios e instalaciones dedicadas a la cría y engorda de animales en confinamiento, mediante la implementación de tecnología con alto grado de mecanización y mano de obra especializada que les permiten obtener altos rendimientos y buena calidad en la producción para fines de comercialización a escala regional, nacional y exportación.</w:t>
      </w:r>
    </w:p>
    <w:p w:rsidR="00000000" w:rsidDel="00000000" w:rsidP="00000000" w:rsidRDefault="00000000" w:rsidRPr="00000000" w14:paraId="00000015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Agricultura protegida: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Instalaciones permanentes con crecimiento para el control de los cultivos, que permiten crear un ambiente controlado para el desarrollo de todas o alguna de las fases del ciclo de cultivo. Se incluyen construcciones e instalaciones ligadas a esta actividad.</w:t>
      </w:r>
    </w:p>
    <w:p w:rsidR="00000000" w:rsidDel="00000000" w:rsidP="00000000" w:rsidRDefault="00000000" w:rsidRPr="00000000" w14:paraId="00000017">
      <w:pPr>
        <w:widowControl w:val="0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Vivienda o edificio rural: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Edificios constituidos por una vivienda unifamiliar o plurifamiliar ligada a una explotación agropecuaria. Incluye otros edificios como cobertizos, graneros, silos, establos, etcétera. No se incluyen los edificios e instalaciones de la ganadería intensiva.</w:t>
      </w:r>
    </w:p>
    <w:p w:rsidR="00000000" w:rsidDel="00000000" w:rsidP="00000000" w:rsidRDefault="00000000" w:rsidRPr="00000000" w14:paraId="00000019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Casas de campo o cabañas: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Actividad de recreo y descanso que se lleva a cabo en casas de campo o cabañas que formen parte de desarrollos inmobiliarios de baja densidad en las áreas rurales y naturales, alejados de los núcleos urbanos. No implica la reclasificación del suelo a urbano o urbanizable, aunque sí precisa de la tramitación de la licencia de urbanización para ejecutar las obras de infraestructura domiciliaria y de conexión vial, y prever la entrega de áreas de cesión obligatoria.</w:t>
      </w:r>
    </w:p>
    <w:p w:rsidR="00000000" w:rsidDel="00000000" w:rsidP="00000000" w:rsidRDefault="00000000" w:rsidRPr="00000000" w14:paraId="0000001B">
      <w:pPr>
        <w:widowControl w:val="0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Agroindustria: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Construcciones destinadas a las industrias agroalimentarias de primera transformación ligadas directamente a la explotación. Incluye las instalaciones que producen, procesan, empaquetan, almacenan, distribuyen y comercializan productos alimentarios provenientes de la materia prima de los sectores agrícola y pecuario.</w:t>
      </w:r>
    </w:p>
    <w:p w:rsidR="00000000" w:rsidDel="00000000" w:rsidP="00000000" w:rsidRDefault="00000000" w:rsidRPr="00000000" w14:paraId="0000001D">
      <w:pPr>
        <w:widowControl w:val="0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Industria del tequila y derivados del agave: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Se incluye en esta categoría a las instalaciones dedicadas a producir y almacenar bebidas alcohólicas destiladas como tequila y mezcal.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Industriales y de almacenamiento no riesgosos: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Desarrollos inmobiliarios para actividades industriales, de servicios logísticos, de almacenamiento o comercio al por mayor, que necesitan de una conexión directa con las vías de transporte regional. </w:t>
      </w:r>
    </w:p>
    <w:p w:rsidR="00000000" w:rsidDel="00000000" w:rsidP="00000000" w:rsidRDefault="00000000" w:rsidRPr="00000000" w14:paraId="00000021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jc w:val="both"/>
        <w:rPr>
          <w:rFonts w:ascii="Montserrat" w:cs="Montserrat" w:eastAsia="Montserrat" w:hAnsi="Montserrat"/>
          <w:sz w:val="20"/>
          <w:szCs w:val="20"/>
          <w:highlight w:val="yellow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Industrias y almacenamientos riesgosos: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Contempla el almacenamiento, desarrollo de sustancias y procesos productivos que por su naturaleza, características o materiales manipulados, puedan originar afectaciones a la salud de la población y riesgos graves si se encuentran próximos a   suelo urbano o urbanizable. Se incluyen las sustancias o materiales con características corrosivas, reactivas, explosivas, tóxicas, inflamables o agentes biológico-infeccioso que representan algún peligro al medio ambiente, en las cantidades indicadas en los listados de actividades de la SEMARNAT. Dentro de esta categoría se incluye también la industria ladrillera.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Parques industriales: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highlight w:val="white"/>
          <w:rtl w:val="0"/>
        </w:rPr>
        <w:t xml:space="preserve">Superficie delimitada y diseñada especialmente para el asentamiento de una planta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industrial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highlight w:val="white"/>
          <w:rtl w:val="0"/>
        </w:rPr>
        <w:t xml:space="preserve"> en condiciones adecuadas de ubicación, infraestructura y de servicios, con una administración permanente para su operación.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Banco de material geológico: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Se refiere a la extracción de materiales y minerales no metálicos utilizados en diversos sectores industriales y para la construcción, como salitre, yodo, yeso, carbonato de calcio, cal, explotación de canteras y extracción de arena, grava y arcilla. Se incluyen las edificaciones e instalaciones destinadas a la extracción y el primer tratamiento de los recursos geológicos situados en la propia zona. No se incluyen las labores de prospección e investigación de los recursos geológicos.</w:t>
      </w:r>
    </w:p>
    <w:p w:rsidR="00000000" w:rsidDel="00000000" w:rsidP="00000000" w:rsidRDefault="00000000" w:rsidRPr="00000000" w14:paraId="00000027">
      <w:pPr>
        <w:widowControl w:val="0"/>
        <w:spacing w:after="0" w:before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0" w:before="0" w:lineRule="auto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Habitacional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color w:val="000000"/>
          <w:rtl w:val="0"/>
        </w:rPr>
        <w:t xml:space="preserve"> predios o edificaciones destinadas para el desarrollo de vivienda unifamiliar o plurifamiliar.</w:t>
      </w:r>
    </w:p>
    <w:p w:rsidR="00000000" w:rsidDel="00000000" w:rsidP="00000000" w:rsidRDefault="00000000" w:rsidRPr="00000000" w14:paraId="00000029">
      <w:pPr>
        <w:widowControl w:val="0"/>
        <w:spacing w:after="0" w:before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after="0" w:before="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Comercial y de Servicio</w:t>
      </w:r>
      <w:r w:rsidDel="00000000" w:rsidR="00000000" w:rsidRPr="00000000">
        <w:rPr>
          <w:rtl w:val="0"/>
        </w:rPr>
        <w:t xml:space="preserve">: son todas aquellos predios o edificaciones dedicadas  al intercambio de mercancías o a la prestación de servicios.</w:t>
      </w:r>
    </w:p>
    <w:p w:rsidR="00000000" w:rsidDel="00000000" w:rsidP="00000000" w:rsidRDefault="00000000" w:rsidRPr="00000000" w14:paraId="0000002B">
      <w:pPr>
        <w:widowControl w:val="0"/>
        <w:spacing w:after="0" w:before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after="0" w:before="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Mixto: </w:t>
      </w:r>
      <w:r w:rsidDel="00000000" w:rsidR="00000000" w:rsidRPr="00000000">
        <w:rPr>
          <w:rtl w:val="0"/>
        </w:rPr>
        <w:t xml:space="preserve">son aquellas zonas en las que pueden coexistir el uso habitacional con usos y actividades complementarias o compatibles de bajo impacto, sin comprometer el bienestar de la población residente de la zona.</w:t>
      </w:r>
    </w:p>
    <w:p w:rsidR="00000000" w:rsidDel="00000000" w:rsidP="00000000" w:rsidRDefault="00000000" w:rsidRPr="00000000" w14:paraId="0000002D">
      <w:pPr>
        <w:widowControl w:val="0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Espacio público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: corresponden a todos aquellos espacios abiertos y recreativos destinados para el ocio, disfrute y aprovechamiento colectivo, que suelen contribuir a la dotación de servicios ambientales al interior de los asentamientos humanos. </w:t>
      </w:r>
    </w:p>
    <w:p w:rsidR="00000000" w:rsidDel="00000000" w:rsidP="00000000" w:rsidRDefault="00000000" w:rsidRPr="00000000" w14:paraId="0000002F">
      <w:pPr>
        <w:widowControl w:val="0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Equipamiento público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: son aquellos espacios destinados para el desarrollo de actividades económicas, sociales, culturales, educativas, de salud, de traslado y abasto, que coadyuvan a consolidar núcleos urbanos mejorando la calidad de vida de sus habitantes.</w:t>
      </w:r>
    </w:p>
    <w:p w:rsidR="00000000" w:rsidDel="00000000" w:rsidP="00000000" w:rsidRDefault="00000000" w:rsidRPr="00000000" w14:paraId="00000031">
      <w:pPr>
        <w:widowControl w:val="0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Infraestructura e instalaciones especiales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: comprende los predios, edificaciones o instalaciones que por su naturaleza son susceptibles de producir siniestros o riesgos, sin ser de tipo industrial, requieren de áreas restrictivas a su alrededor.</w:t>
      </w:r>
    </w:p>
    <w:p w:rsidR="00000000" w:rsidDel="00000000" w:rsidP="00000000" w:rsidRDefault="00000000" w:rsidRPr="00000000" w14:paraId="00000033">
      <w:pPr>
        <w:ind w:left="720" w:firstLine="0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00" w:lineRule="auto"/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00" w:lineRule="auto"/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0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Montserrat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1" Type="http://schemas.openxmlformats.org/officeDocument/2006/relationships/font" Target="fonts/MontserratMedium-italic.ttf"/><Relationship Id="rId10" Type="http://schemas.openxmlformats.org/officeDocument/2006/relationships/font" Target="fonts/MontserratMedium-bold.ttf"/><Relationship Id="rId12" Type="http://schemas.openxmlformats.org/officeDocument/2006/relationships/font" Target="fonts/MontserratMedium-boldItalic.ttf"/><Relationship Id="rId9" Type="http://schemas.openxmlformats.org/officeDocument/2006/relationships/font" Target="fonts/MontserratMedium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