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9F5BF2" w:rsidRDefault="00565B6B" w:rsidP="00245F49">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TAMAZULA DE GORDIANO</w:t>
            </w:r>
          </w:p>
          <w:p w:rsidR="00245F49" w:rsidRPr="004A7026" w:rsidRDefault="00245F49" w:rsidP="00245F49">
            <w:pPr>
              <w:spacing w:after="0" w:line="240" w:lineRule="auto"/>
              <w:jc w:val="center"/>
              <w:rPr>
                <w:rFonts w:ascii="Arial" w:hAnsi="Arial" w:cs="Arial"/>
                <w:b/>
                <w:sz w:val="24"/>
                <w:szCs w:val="28"/>
              </w:rPr>
            </w:pPr>
            <w:r w:rsidRPr="004A7026">
              <w:rPr>
                <w:rFonts w:ascii="Arial" w:hAnsi="Arial" w:cs="Arial"/>
                <w:b/>
                <w:sz w:val="24"/>
                <w:szCs w:val="28"/>
              </w:rPr>
              <w:t>NOTAS A LOS ESTADOS FINANCIEROS</w:t>
            </w:r>
          </w:p>
          <w:p w:rsidR="00A45E83" w:rsidRPr="006628DA" w:rsidRDefault="00245F49" w:rsidP="006628DA">
            <w:pPr>
              <w:spacing w:after="0" w:line="240" w:lineRule="auto"/>
              <w:jc w:val="center"/>
              <w:rPr>
                <w:rFonts w:ascii="Arial" w:hAnsi="Arial" w:cs="Arial"/>
                <w:b/>
                <w:sz w:val="24"/>
                <w:szCs w:val="28"/>
              </w:rPr>
            </w:pPr>
            <w:r w:rsidRPr="004A7026">
              <w:rPr>
                <w:rFonts w:ascii="Arial" w:hAnsi="Arial" w:cs="Arial"/>
                <w:b/>
                <w:sz w:val="24"/>
                <w:szCs w:val="28"/>
              </w:rPr>
              <w:t xml:space="preserve"> DE GESTIÓN ADMINISTRATIVA</w:t>
            </w:r>
          </w:p>
          <w:p w:rsidR="00A45E83" w:rsidRPr="00EF11D0" w:rsidRDefault="00565B6B"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31 DE DICIEMBRE DE 2022</w:t>
            </w:r>
          </w:p>
        </w:tc>
      </w:tr>
    </w:tbl>
    <w:p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565B6B" w:rsidRDefault="00565B6B" w:rsidP="00565B6B">
            <w:pPr>
              <w:autoSpaceDE w:val="0"/>
              <w:autoSpaceDN w:val="0"/>
              <w:adjustRightInd w:val="0"/>
              <w:spacing w:after="160" w:line="252" w:lineRule="auto"/>
              <w:jc w:val="both"/>
              <w:rPr>
                <w:rFonts w:ascii="Arial" w:hAnsi="Arial" w:cs="Arial"/>
                <w:b/>
                <w:bCs/>
                <w:lang w:eastAsia="es-MX"/>
              </w:rPr>
            </w:pPr>
            <w:bookmarkStart w:id="2" w:name="cuerpo"/>
            <w:bookmarkEnd w:id="2"/>
            <w:r>
              <w:rPr>
                <w:rFonts w:ascii="Arial" w:hAnsi="Arial" w:cs="Arial"/>
                <w:b/>
                <w:bCs/>
                <w:lang w:eastAsia="es-MX"/>
              </w:rPr>
              <w:t>C) NOTAS DE GESTIÓN ADMINISTRATIVA</w:t>
            </w:r>
          </w:p>
          <w:p w:rsidR="00565B6B" w:rsidRDefault="00565B6B" w:rsidP="00565B6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 Introducción</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Los Estados Financieros de los entes públicos, proveen de información financiera a los principales usuarios de la misma, al Congreso y a los ciudadanos.</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El objetivo del presente documento es la revelación del contexto y de los aspectos económicos-financieros más relevantes que influyeron en las decisiones del período, y que deberán ser considerados en la elaboración de los estados financieros para la mayor comprensión de los mismos y sus particularidades.</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rsidR="00565B6B" w:rsidRDefault="00565B6B" w:rsidP="00565B6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2. Panorama Económico y Financiero</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 las principales condiciones económico- financieras bajo las cuales el ente público estuvo operando; y las cuales influyeron en la toma de decisiones de la administración; tanto a nivel local como federal.</w:t>
            </w:r>
          </w:p>
          <w:p w:rsidR="00565B6B" w:rsidRDefault="00565B6B" w:rsidP="00565B6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3. Autorización e Historia</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Fecha de creación del ente.</w:t>
            </w:r>
          </w:p>
          <w:p w:rsidR="00565B6B" w:rsidRDefault="00565B6B" w:rsidP="00565B6B">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xml:space="preserve">Tamazula cuenta con Ayuntamiento Constitucional desde el año de 1820, un año anterior a la consumación de la independencia nacional. </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Principales cambios en su estructura.</w:t>
            </w:r>
          </w:p>
          <w:p w:rsidR="00565B6B" w:rsidRDefault="00565B6B" w:rsidP="00565B6B">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Años posteriores, dentro del proceso de reorganización político-administrativo, el 8 de abril de 1844, el Congreso de Jalisco, mediante Decreto no. 5 ordenó la instalación formal del Ayuntamiento de Tamazula, el cual debía, en ese entonces, quedar integrado por dos Alcaldes, cuatro Regidores y un Sindico; siendo el Cabildo el máximo órgano del Gobierno Civil, elegido mediante el sufragio popular.</w:t>
            </w:r>
          </w:p>
          <w:p w:rsidR="00565B6B" w:rsidRDefault="00565B6B" w:rsidP="00565B6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4. Organización y Objeto Social</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Objeto social.</w:t>
            </w:r>
          </w:p>
          <w:p w:rsidR="00565B6B" w:rsidRDefault="00565B6B" w:rsidP="00565B6B">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1.</w:t>
            </w:r>
            <w:r>
              <w:rPr>
                <w:rFonts w:ascii="Arial" w:hAnsi="Arial" w:cs="Arial"/>
                <w:color w:val="000000"/>
                <w:lang w:eastAsia="es-MX"/>
              </w:rPr>
              <w:tab/>
              <w:t>El bienestar de la comunidad local y su desarrollo cultural, social y material;</w:t>
            </w:r>
          </w:p>
          <w:p w:rsidR="00565B6B" w:rsidRDefault="00565B6B" w:rsidP="00565B6B">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2.</w:t>
            </w:r>
            <w:r>
              <w:rPr>
                <w:rFonts w:ascii="Arial" w:hAnsi="Arial" w:cs="Arial"/>
                <w:color w:val="000000"/>
                <w:lang w:eastAsia="es-MX"/>
              </w:rPr>
              <w:tab/>
              <w:t>La protección de la salud y la seguridad de las personas;</w:t>
            </w:r>
          </w:p>
          <w:p w:rsidR="00565B6B" w:rsidRDefault="00565B6B" w:rsidP="00565B6B">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3.</w:t>
            </w:r>
            <w:r>
              <w:rPr>
                <w:rFonts w:ascii="Arial" w:hAnsi="Arial" w:cs="Arial"/>
                <w:color w:val="000000"/>
                <w:lang w:eastAsia="es-MX"/>
              </w:rPr>
              <w:tab/>
              <w:t>El fomento del civismo y de la solidaridad entre los vecinos; y</w:t>
            </w:r>
          </w:p>
          <w:p w:rsidR="00565B6B" w:rsidRDefault="00565B6B" w:rsidP="00565B6B">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4.</w:t>
            </w:r>
            <w:r>
              <w:rPr>
                <w:rFonts w:ascii="Arial" w:hAnsi="Arial" w:cs="Arial"/>
                <w:color w:val="000000"/>
                <w:lang w:eastAsia="es-MX"/>
              </w:rPr>
              <w:tab/>
              <w:t>La cooperación con otras Municipalidades y entidades para el cumplimiento de obras de interés colectivo, dentro de sus fines específicos.</w:t>
            </w:r>
          </w:p>
          <w:p w:rsidR="00565B6B" w:rsidRDefault="00565B6B" w:rsidP="00565B6B">
            <w:pPr>
              <w:autoSpaceDE w:val="0"/>
              <w:autoSpaceDN w:val="0"/>
              <w:adjustRightInd w:val="0"/>
              <w:spacing w:after="160" w:line="252" w:lineRule="auto"/>
              <w:ind w:left="720"/>
              <w:jc w:val="both"/>
              <w:rPr>
                <w:rFonts w:ascii="Arial" w:hAnsi="Arial" w:cs="Arial"/>
                <w:lang w:eastAsia="es-MX"/>
              </w:rPr>
            </w:pP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Principal actividad.</w:t>
            </w:r>
          </w:p>
          <w:p w:rsidR="00565B6B" w:rsidRDefault="00565B6B" w:rsidP="00565B6B">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Administración pública municipal en general y actividades asistenciales.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Ejercicio fiscal.</w:t>
            </w:r>
          </w:p>
          <w:p w:rsidR="00565B6B" w:rsidRDefault="00565B6B" w:rsidP="00565B6B">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2017</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Régimen jurídico.</w:t>
            </w:r>
          </w:p>
          <w:p w:rsidR="00565B6B" w:rsidRDefault="00565B6B" w:rsidP="00565B6B">
            <w:pPr>
              <w:autoSpaceDE w:val="0"/>
              <w:autoSpaceDN w:val="0"/>
              <w:adjustRightInd w:val="0"/>
              <w:spacing w:after="160" w:line="252" w:lineRule="auto"/>
              <w:ind w:left="720"/>
              <w:rPr>
                <w:rFonts w:ascii="Arial" w:hAnsi="Arial" w:cs="Arial"/>
                <w:lang w:eastAsia="es-MX"/>
              </w:rPr>
            </w:pPr>
            <w:r>
              <w:rPr>
                <w:rFonts w:ascii="Arial" w:hAnsi="Arial" w:cs="Arial"/>
                <w:lang w:eastAsia="es-MX"/>
              </w:rPr>
              <w:t>Persona Moral con Fines no Lucrativos</w:t>
            </w:r>
          </w:p>
          <w:p w:rsidR="00565B6B" w:rsidRDefault="00565B6B" w:rsidP="00565B6B">
            <w:pPr>
              <w:autoSpaceDE w:val="0"/>
              <w:autoSpaceDN w:val="0"/>
              <w:adjustRightInd w:val="0"/>
              <w:spacing w:after="160" w:line="252" w:lineRule="auto"/>
              <w:ind w:left="720" w:hanging="360"/>
              <w:rPr>
                <w:rFonts w:ascii="Arial" w:hAnsi="Arial" w:cs="Arial"/>
                <w:lang w:eastAsia="es-MX"/>
              </w:rPr>
            </w:pPr>
            <w:r>
              <w:rPr>
                <w:rFonts w:ascii="Arial" w:hAnsi="Arial" w:cs="Arial"/>
                <w:lang w:eastAsia="es-MX"/>
              </w:rPr>
              <w:t>e)</w:t>
            </w:r>
            <w:r>
              <w:rPr>
                <w:rFonts w:ascii="Arial" w:hAnsi="Arial" w:cs="Arial"/>
                <w:lang w:eastAsia="es-MX"/>
              </w:rPr>
              <w:tab/>
              <w:t xml:space="preserve">Consideraciones fiscales del ente: </w:t>
            </w:r>
          </w:p>
          <w:p w:rsidR="00565B6B" w:rsidRDefault="00565B6B" w:rsidP="00565B6B">
            <w:pPr>
              <w:autoSpaceDE w:val="0"/>
              <w:autoSpaceDN w:val="0"/>
              <w:adjustRightInd w:val="0"/>
              <w:spacing w:after="160" w:line="252" w:lineRule="auto"/>
              <w:ind w:left="720"/>
              <w:rPr>
                <w:rFonts w:ascii="Arial" w:hAnsi="Arial" w:cs="Arial"/>
                <w:lang w:eastAsia="es-MX"/>
              </w:rPr>
            </w:pPr>
            <w:r>
              <w:rPr>
                <w:rFonts w:ascii="Arial" w:hAnsi="Arial" w:cs="Arial"/>
                <w:lang w:eastAsia="es-MX"/>
              </w:rPr>
              <w:t>Entero de retenciones mensuales de ISR por sueldos y salarios.</w:t>
            </w:r>
          </w:p>
          <w:p w:rsidR="00565B6B" w:rsidRDefault="00565B6B" w:rsidP="00565B6B">
            <w:pPr>
              <w:autoSpaceDE w:val="0"/>
              <w:autoSpaceDN w:val="0"/>
              <w:adjustRightInd w:val="0"/>
              <w:spacing w:after="160" w:line="252" w:lineRule="auto"/>
              <w:ind w:left="720" w:hanging="360"/>
              <w:rPr>
                <w:rFonts w:ascii="Arial" w:hAnsi="Arial" w:cs="Arial"/>
                <w:lang w:eastAsia="es-MX"/>
              </w:rPr>
            </w:pPr>
            <w:r>
              <w:rPr>
                <w:rFonts w:ascii="Arial" w:hAnsi="Arial" w:cs="Arial"/>
                <w:lang w:eastAsia="es-MX"/>
              </w:rPr>
              <w:t>f)</w:t>
            </w:r>
            <w:r>
              <w:rPr>
                <w:rFonts w:ascii="Arial" w:hAnsi="Arial" w:cs="Arial"/>
                <w:lang w:eastAsia="es-MX"/>
              </w:rPr>
              <w:tab/>
              <w:t>Estructura organizacional básica.</w:t>
            </w:r>
          </w:p>
          <w:p w:rsidR="00565B6B" w:rsidRDefault="00565B6B" w:rsidP="00565B6B">
            <w:pPr>
              <w:autoSpaceDE w:val="0"/>
              <w:autoSpaceDN w:val="0"/>
              <w:adjustRightInd w:val="0"/>
              <w:spacing w:after="160" w:line="252" w:lineRule="auto"/>
              <w:jc w:val="center"/>
              <w:rPr>
                <w:rFonts w:ascii="Arial" w:hAnsi="Arial" w:cs="Arial"/>
                <w:b/>
                <w:bCs/>
                <w:lang w:eastAsia="es-MX"/>
              </w:rPr>
            </w:pPr>
            <w:r>
              <w:rPr>
                <w:rFonts w:ascii="Arial" w:hAnsi="Arial" w:cs="Arial"/>
                <w:b/>
                <w:bCs/>
                <w:lang w:eastAsia="es-MX"/>
              </w:rPr>
              <w:t>PLENO DEL H. AYUNTAMIENTO ADMINISTRACIÓN 2021-2024</w:t>
            </w:r>
          </w:p>
          <w:p w:rsidR="00565B6B" w:rsidRDefault="00565B6B" w:rsidP="00565B6B">
            <w:pPr>
              <w:autoSpaceDE w:val="0"/>
              <w:autoSpaceDN w:val="0"/>
              <w:adjustRightInd w:val="0"/>
              <w:spacing w:after="160" w:line="252" w:lineRule="auto"/>
              <w:jc w:val="both"/>
              <w:rPr>
                <w:rFonts w:ascii="Arial" w:hAnsi="Arial" w:cs="Arial"/>
                <w:b/>
                <w:bCs/>
                <w:lang w:eastAsia="es-MX"/>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78"/>
              <w:gridCol w:w="4118"/>
            </w:tblGrid>
            <w:tr w:rsidR="00565B6B">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ING. RAUL EVERARDO GUTIERREZ CASTAÑEDA PRESIDENTE M</w:t>
                  </w:r>
                </w:p>
              </w:tc>
              <w:tc>
                <w:tcPr>
                  <w:tcW w:w="6096"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LIC. YOHANA ARRIAGA ALCARAZ</w:t>
                  </w:r>
                  <w:r>
                    <w:rPr>
                      <w:rFonts w:cs="Calibri"/>
                      <w:b/>
                      <w:bCs/>
                      <w:lang w:eastAsia="es-MX"/>
                    </w:rPr>
                    <w:t xml:space="preserve"> </w:t>
                  </w:r>
                  <w:r>
                    <w:rPr>
                      <w:rFonts w:ascii="Century Gothic" w:hAnsi="Century Gothic" w:cs="Century Gothic"/>
                      <w:b/>
                      <w:bCs/>
                      <w:lang w:eastAsia="es-MX"/>
                    </w:rPr>
                    <w:t>SECRETARIO GRAL</w:t>
                  </w:r>
                </w:p>
              </w:tc>
            </w:tr>
            <w:tr w:rsidR="00565B6B">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SINDI NAYELI BRAVO MUÑIZ SÍNDICO MUNICIPAL</w:t>
                  </w:r>
                </w:p>
              </w:tc>
              <w:tc>
                <w:tcPr>
                  <w:tcW w:w="6096"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RICARDO CERVANTES GARCIA REGIDOR</w:t>
                  </w:r>
                </w:p>
              </w:tc>
            </w:tr>
            <w:tr w:rsidR="00565B6B">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ABEL TEJEDA NAVARRO REGIDOR</w:t>
                  </w:r>
                </w:p>
              </w:tc>
              <w:tc>
                <w:tcPr>
                  <w:tcW w:w="6096"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LUIS FERNANDO LOPEZ LUGO REGIDOR</w:t>
                  </w:r>
                </w:p>
              </w:tc>
            </w:tr>
            <w:tr w:rsidR="00565B6B">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APOLINAR ZEPEDA TORRES REGIDOR</w:t>
                  </w:r>
                </w:p>
              </w:tc>
              <w:tc>
                <w:tcPr>
                  <w:tcW w:w="6096"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MODESTO BETANCOURT RAMIREZ REGIDOR</w:t>
                  </w:r>
                </w:p>
              </w:tc>
            </w:tr>
            <w:tr w:rsidR="00565B6B">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MA. GUADALUPE GONZALEZ SANTILLAN REGIDORA</w:t>
                  </w:r>
                </w:p>
              </w:tc>
              <w:tc>
                <w:tcPr>
                  <w:tcW w:w="6096"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MARCELA GUADALUPE GMUNGUIA GARCÍA REG</w:t>
                  </w:r>
                </w:p>
              </w:tc>
            </w:tr>
            <w:tr w:rsidR="00565B6B">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JULIETA TORRES BARBOSA REGIDORA</w:t>
                  </w:r>
                </w:p>
              </w:tc>
              <w:tc>
                <w:tcPr>
                  <w:tcW w:w="6096"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ADRIANA LETICIA LOPEZ HERNANDEZ REGIDORA</w:t>
                  </w:r>
                </w:p>
              </w:tc>
            </w:tr>
          </w:tbl>
          <w:p w:rsidR="00565B6B" w:rsidRDefault="00565B6B" w:rsidP="00565B6B">
            <w:pPr>
              <w:autoSpaceDE w:val="0"/>
              <w:autoSpaceDN w:val="0"/>
              <w:adjustRightInd w:val="0"/>
              <w:spacing w:after="160" w:line="252" w:lineRule="auto"/>
              <w:jc w:val="both"/>
              <w:rPr>
                <w:rFonts w:ascii="Arial" w:hAnsi="Arial" w:cs="Arial"/>
                <w:b/>
                <w:bCs/>
                <w:lang w:eastAsia="es-MX"/>
              </w:rPr>
            </w:pPr>
          </w:p>
          <w:p w:rsidR="00565B6B" w:rsidRDefault="00565B6B" w:rsidP="00565B6B">
            <w:pPr>
              <w:autoSpaceDE w:val="0"/>
              <w:autoSpaceDN w:val="0"/>
              <w:adjustRightInd w:val="0"/>
              <w:spacing w:after="160" w:line="252" w:lineRule="auto"/>
              <w:rPr>
                <w:rFonts w:ascii="Arial" w:hAnsi="Arial" w:cs="Arial"/>
                <w:lang w:eastAsia="es-MX"/>
              </w:rPr>
            </w:pPr>
          </w:p>
          <w:p w:rsidR="00565B6B" w:rsidRDefault="00565B6B" w:rsidP="00565B6B">
            <w:pPr>
              <w:autoSpaceDE w:val="0"/>
              <w:autoSpaceDN w:val="0"/>
              <w:adjustRightInd w:val="0"/>
              <w:spacing w:after="160" w:line="252" w:lineRule="auto"/>
              <w:jc w:val="center"/>
              <w:rPr>
                <w:rFonts w:ascii="Arial" w:hAnsi="Arial" w:cs="Arial"/>
                <w:b/>
                <w:bCs/>
                <w:sz w:val="16"/>
                <w:szCs w:val="16"/>
                <w:lang w:eastAsia="es-MX"/>
              </w:rPr>
            </w:pPr>
            <w:r>
              <w:rPr>
                <w:rFonts w:ascii="Arial" w:hAnsi="Arial" w:cs="Arial"/>
                <w:b/>
                <w:bCs/>
                <w:sz w:val="16"/>
                <w:szCs w:val="16"/>
                <w:lang w:eastAsia="es-MX"/>
              </w:rPr>
              <w:t>COMISIONES EDILICIAS H. AYUNTAMIENTO ADMINISTRACIÓN 2021-2024</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91"/>
              <w:gridCol w:w="1937"/>
              <w:gridCol w:w="2016"/>
              <w:gridCol w:w="4152"/>
            </w:tblGrid>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 xml:space="preserve">No. </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Comisión</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Presidente</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Integrantes de la Mesa</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Gobernación, reglamentos </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 y C. Adriana Leticia López Hernández</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II</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Hacienda pública y patrimonio m</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Raúl Everardo Gutiérrez Castañeda, C. Sindi </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III</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Función pública, transparencia </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Ricardo Cervantes García  y C. Julieta Torres Barbosa</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IV</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Derechos humanos e igualdad </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Luis Fernando López Lugo, C. Ma. Guadalupe González Santillán</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social y humano</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Marcela Guadalupe Murguía García</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Julieta Torres Barbosa, C. Ma. Guadalupe González Santillán y C. Ricardo Cervantes </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VI</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agropecuario</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Abel Tejeda Navarro</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Sindi Nayeli Bravo Muñiz y C. Apolinar Zepeda Torres</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VII</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urbano y obra pública</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Adriana Leticia López Hernández</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Castañedo y C. Julieta Torres Barbosa</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VIII</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ambiental</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Adriana Leticia López Hernández</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Abel Tejeda Navarro,  C. Marcela Guadalupe Munguía García y C. Luis Fernando López</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IX</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Desarrollo cultural y educación </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Ricardo Cervantes García</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 y  C. Marcela Guadalupe Munguía García</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Cultura de la salud</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Apolinar Zepeda Torres </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Luis Fernando López Lugo y C. Ricardo Cervantes García.</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económico y turismo</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Luis Fernando López Lugo</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Sindi Nayeli Bravo Muñiz y C. Abel Tejeda Navarro</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XII</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Seguridad pública, tránsito y prot</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Adriana Leticia López Hernández, C. Apolinar </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XIII</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Participación social y juventud</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Ma. Guadalupe González Santillán</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Modesto Betancourt Ramírez y C. Abel Tejeda Navarro</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XIV</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Servicios públicos</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Sindi Nayeli Bravo Muñiz </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Adriana Leticia López Hernández y C. Apolinar Zepeda Torres </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XV</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Inspección y vigilancia</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Modesto Betancourt Ramírez</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Castañeda y C. Ma. Guadalupe González Santillán</w:t>
                  </w:r>
                </w:p>
              </w:tc>
            </w:tr>
            <w:tr w:rsidR="00565B6B">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XVI</w:t>
                  </w:r>
                </w:p>
              </w:tc>
              <w:tc>
                <w:tcPr>
                  <w:tcW w:w="2549"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Innovación, ciencia y tecnología </w:t>
                  </w:r>
                </w:p>
              </w:tc>
              <w:tc>
                <w:tcPr>
                  <w:tcW w:w="2765"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Sindi Nayeli Bravo Muñiz </w:t>
                  </w:r>
                </w:p>
              </w:tc>
              <w:tc>
                <w:tcPr>
                  <w:tcW w:w="6528" w:type="dxa"/>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Marcela Guadalupe Munguía García y C. Modesto Betancourt Ramírez</w:t>
                  </w:r>
                </w:p>
              </w:tc>
            </w:tr>
          </w:tbl>
          <w:p w:rsidR="00565B6B" w:rsidRDefault="00565B6B" w:rsidP="00565B6B">
            <w:pPr>
              <w:autoSpaceDE w:val="0"/>
              <w:autoSpaceDN w:val="0"/>
              <w:adjustRightInd w:val="0"/>
              <w:spacing w:after="160" w:line="252" w:lineRule="auto"/>
              <w:jc w:val="both"/>
              <w:rPr>
                <w:rFonts w:ascii="Arial" w:hAnsi="Arial" w:cs="Arial"/>
                <w:sz w:val="16"/>
                <w:szCs w:val="16"/>
                <w:lang w:eastAsia="es-MX"/>
              </w:rPr>
            </w:pP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Fideicomisos, mandatos y análogos de los cuales es fideicomitente o fideicomisario.</w:t>
            </w:r>
          </w:p>
          <w:p w:rsidR="00565B6B" w:rsidRDefault="00565B6B" w:rsidP="00565B6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5. Bases de Preparación de los Estados Financieros.</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Si se ha observado la normatividad emitida por el CONAC y las disposiciones legales aplicables.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Postulados básicos.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Para las entidades que por primera vez estén implementando la base devengado de acuerdo a la Ley de Contabilidad, deberán:</w:t>
            </w:r>
          </w:p>
          <w:p w:rsidR="00565B6B" w:rsidRDefault="00565B6B" w:rsidP="00565B6B">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Revelar las nuevas políticas de reconocimiento;</w:t>
            </w:r>
          </w:p>
          <w:p w:rsidR="00565B6B" w:rsidRDefault="00565B6B" w:rsidP="00565B6B">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Su plan de implementación;</w:t>
            </w:r>
          </w:p>
          <w:p w:rsidR="00565B6B" w:rsidRDefault="00565B6B" w:rsidP="00565B6B">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Revelar los cambios en las políticas, la clasificación y medición de las mismas, así como su impacto en la información financiera, y</w:t>
            </w:r>
          </w:p>
          <w:p w:rsidR="00565B6B" w:rsidRDefault="00565B6B" w:rsidP="00565B6B">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Presentar los últimos estados financieros con la normatividad anteriormente utilizada con las nuevas políticas para fines de comparación en la transición a la base devengado.</w:t>
            </w:r>
          </w:p>
          <w:p w:rsidR="00565B6B" w:rsidRDefault="00565B6B" w:rsidP="00565B6B">
            <w:pPr>
              <w:autoSpaceDE w:val="0"/>
              <w:autoSpaceDN w:val="0"/>
              <w:adjustRightInd w:val="0"/>
              <w:spacing w:after="160" w:line="252" w:lineRule="auto"/>
              <w:ind w:left="720"/>
              <w:jc w:val="both"/>
              <w:rPr>
                <w:rFonts w:ascii="Arial" w:hAnsi="Arial" w:cs="Arial"/>
                <w:lang w:eastAsia="es-MX"/>
              </w:rPr>
            </w:pPr>
          </w:p>
          <w:p w:rsidR="00565B6B" w:rsidRDefault="00565B6B" w:rsidP="00565B6B">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El municipio de Tamazula de Gordiano, Jalisco aplica la normatividad emitida por el CONAC  así mismo cumple con las demás disposiciones legales aplicables vigentes.</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6. Políticas de Contabilidad Significativas</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Actualización: se informará del método utilizado para la actualización del valor de los activos, pasivos y Hacienda Pública/Patrimonio y las razones de dicha elección. Así como informar de la desconexión o reconexión inflacionaria.</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Informar sobre la realización de operaciones en el extranjero y de sus efectos en la información financiera gubernamental.</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Método de valuación de la inversión en acciones de Compañías subsidiarias no consolidadas y asociadas.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Sistema y método de valuación de inventarios y costo de lo vendido.</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Beneficios a empleados: revelar el cálculo de la reserva actuarial, valor presente de los ingresos esperados comparado con el valor presente de la estimación de gastos tanto de los beneficiarios actuales como futuros.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f)</w:t>
            </w:r>
            <w:r>
              <w:rPr>
                <w:rFonts w:ascii="Arial" w:hAnsi="Arial" w:cs="Arial"/>
                <w:lang w:eastAsia="es-MX"/>
              </w:rPr>
              <w:tab/>
              <w:t>Provisiones: objetivo de su creación, monto y plazo.</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Reservas: objetivo de su creación, monto y plazo.</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h)</w:t>
            </w:r>
            <w:r>
              <w:rPr>
                <w:rFonts w:ascii="Arial" w:hAnsi="Arial" w:cs="Arial"/>
                <w:lang w:eastAsia="es-MX"/>
              </w:rPr>
              <w:tab/>
              <w:t>Cambios en políticas contables y corrección de errores junto con la revelación de los efectos que se tendrá en la información financiera del ente público, ya sea retrospectivos o prospectivos.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i)</w:t>
            </w:r>
            <w:r>
              <w:rPr>
                <w:rFonts w:ascii="Arial" w:hAnsi="Arial" w:cs="Arial"/>
                <w:lang w:eastAsia="es-MX"/>
              </w:rPr>
              <w:tab/>
              <w:t>Reclasificaciones: se deben revelar todos aquellos movimientos entre cuentas por efectos de cambios en los tipos de operaciones.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j)</w:t>
            </w:r>
            <w:r>
              <w:rPr>
                <w:rFonts w:ascii="Arial" w:hAnsi="Arial" w:cs="Arial"/>
                <w:lang w:eastAsia="es-MX"/>
              </w:rPr>
              <w:tab/>
              <w:t>Depuración y cancelación de saldos.</w:t>
            </w:r>
          </w:p>
          <w:p w:rsidR="00565B6B" w:rsidRDefault="00565B6B" w:rsidP="00565B6B">
            <w:pPr>
              <w:autoSpaceDE w:val="0"/>
              <w:autoSpaceDN w:val="0"/>
              <w:adjustRightInd w:val="0"/>
              <w:spacing w:after="160" w:line="252" w:lineRule="auto"/>
              <w:ind w:left="720"/>
              <w:jc w:val="both"/>
              <w:rPr>
                <w:rFonts w:ascii="Arial" w:hAnsi="Arial" w:cs="Arial"/>
                <w:lang w:eastAsia="es-MX"/>
              </w:rPr>
            </w:pPr>
          </w:p>
          <w:p w:rsidR="00565B6B" w:rsidRDefault="00565B6B" w:rsidP="00565B6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7. Posición en Moneda Extranjera y Protección por Riesgo Cambiario.</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Activos en moneda extranjera.</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Pasivos en moneda extranjera.</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Posición en moneda extranjera.</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Tipo de cambio.</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Equivalente en moneda nacional.</w:t>
            </w:r>
          </w:p>
          <w:p w:rsidR="00565B6B" w:rsidRDefault="00565B6B" w:rsidP="00565B6B">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 xml:space="preserve">Lo anterior, por cada tipo de moneda extranjera que se encuentre en los rubros de activo y pasivo. </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Adicionalmente, se informará sobre los métodos de protección de riesgo por variaciones en el tipo de cambio.</w:t>
            </w:r>
          </w:p>
          <w:p w:rsidR="00565B6B" w:rsidRDefault="00565B6B" w:rsidP="00565B6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8. Reporte Analítico del Activo.</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Debe mostrar la siguiente información:</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Vida útil o porcentajes de depreciación, deterioro o amortización utilizados en los diferentes tipos de activos.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Cambios en el porcentaje de depreciación o valor residual de los activos.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Importe de los gastos capitalizados en el ejercicio, tanto financieros como de investigación y desarrollo.</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Riesgos por tipo de cambio o tipo de interés de las inversiones financieras.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Valor activado en el ejercicio de los bienes construidos por la entidad.</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f)</w:t>
            </w:r>
            <w:r>
              <w:rPr>
                <w:rFonts w:ascii="Arial" w:hAnsi="Arial" w:cs="Arial"/>
                <w:lang w:eastAsia="es-MX"/>
              </w:rPr>
              <w:tab/>
              <w:t>Otras circunstancias de carácter significativo que afecten el activo, tales como bienes en garantía, señalados en embargos, litigios, títulos de inversiones entregados en garantías, baja significativa del valor de inversiones financieras, etc.</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Desmantelamiento de Activos, procedimientos, implicaciones, efectos contables.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h)</w:t>
            </w:r>
            <w:r>
              <w:rPr>
                <w:rFonts w:ascii="Arial" w:hAnsi="Arial" w:cs="Arial"/>
                <w:lang w:eastAsia="es-MX"/>
              </w:rPr>
              <w:tab/>
              <w:t>Administración de activos; planeación con el objetivo de que el ente los utilice de manera más efectiva.</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Adicionalmente, se deben incluir las explicaciones de las principales variaciones en el activo, en cuadros comparativos como sigue:</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Inversiones en valores.</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Patrimonio de Organismos descentralizados de Control Presupuestario Indirecto.</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Inversiones en empresas de participación mayoritaria.</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Inversiones en empresas de participación minoritaria.</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Patrimonio de organismos descentralizados de control presupuestario directo, según corresponda.</w:t>
            </w:r>
          </w:p>
          <w:p w:rsidR="00565B6B" w:rsidRDefault="00565B6B" w:rsidP="00565B6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9. Fideicomisos, Mandatos y Análogos</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Se deberá informar:</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Por ramo administrativo que los reporta.</w:t>
            </w:r>
          </w:p>
          <w:p w:rsidR="00565B6B" w:rsidRDefault="00565B6B" w:rsidP="00565B6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Enlistar los de mayor monto de disponibilidad, relacionando aquéllos que conforman el 80% de las disponibilidades.</w:t>
            </w:r>
          </w:p>
          <w:p w:rsidR="00565B6B" w:rsidRDefault="00565B6B" w:rsidP="00565B6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10. Reporte de la Recaudación</w:t>
            </w:r>
          </w:p>
          <w:p w:rsidR="00565B6B" w:rsidRDefault="00565B6B" w:rsidP="00565B6B">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Análisis del comportamiento de la recaudación correspondiente al ente público o cualquier tipo de ingreso, de forma separada los ingresos locales de los federales. </w:t>
            </w:r>
          </w:p>
          <w:p w:rsidR="00565B6B" w:rsidRDefault="00565B6B" w:rsidP="00565B6B">
            <w:pPr>
              <w:autoSpaceDE w:val="0"/>
              <w:autoSpaceDN w:val="0"/>
              <w:adjustRightInd w:val="0"/>
              <w:spacing w:after="0" w:line="240" w:lineRule="auto"/>
              <w:jc w:val="both"/>
              <w:rPr>
                <w:rFonts w:ascii="Arial" w:hAnsi="Arial" w:cs="Arial"/>
                <w:color w:val="000000"/>
                <w:lang w:eastAsia="es-MX"/>
              </w:rPr>
            </w:pPr>
          </w:p>
          <w:p w:rsidR="00565B6B" w:rsidRDefault="00565B6B" w:rsidP="00565B6B">
            <w:pPr>
              <w:autoSpaceDE w:val="0"/>
              <w:autoSpaceDN w:val="0"/>
              <w:adjustRightInd w:val="0"/>
              <w:spacing w:after="0" w:line="240" w:lineRule="auto"/>
              <w:jc w:val="both"/>
              <w:rPr>
                <w:rFonts w:ascii="Arial" w:hAnsi="Arial" w:cs="Arial"/>
                <w:color w:val="000000"/>
                <w:lang w:eastAsia="es-MX"/>
              </w:rPr>
            </w:pPr>
          </w:p>
          <w:p w:rsidR="00565B6B" w:rsidRDefault="00565B6B" w:rsidP="00565B6B">
            <w:pPr>
              <w:autoSpaceDE w:val="0"/>
              <w:autoSpaceDN w:val="0"/>
              <w:adjustRightInd w:val="0"/>
              <w:spacing w:after="0" w:line="240" w:lineRule="auto"/>
              <w:jc w:val="both"/>
              <w:rPr>
                <w:rFonts w:ascii="Arial" w:hAnsi="Arial" w:cs="Arial"/>
                <w:color w:val="000000"/>
                <w:lang w:eastAsia="es-MX"/>
              </w:rPr>
            </w:pPr>
          </w:p>
          <w:p w:rsidR="00565B6B" w:rsidRDefault="00565B6B" w:rsidP="00565B6B">
            <w:pPr>
              <w:tabs>
                <w:tab w:val="left" w:pos="960"/>
              </w:tabs>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ab/>
            </w:r>
          </w:p>
          <w:tbl>
            <w:tblPr>
              <w:tblW w:w="0" w:type="auto"/>
              <w:tblCellMar>
                <w:left w:w="70" w:type="dxa"/>
                <w:right w:w="70" w:type="dxa"/>
              </w:tblCellMar>
              <w:tblLook w:val="0000" w:firstRow="0" w:lastRow="0" w:firstColumn="0" w:lastColumn="0" w:noHBand="0" w:noVBand="0"/>
            </w:tblPr>
            <w:tblGrid>
              <w:gridCol w:w="1915"/>
              <w:gridCol w:w="1163"/>
              <w:gridCol w:w="1038"/>
              <w:gridCol w:w="1163"/>
              <w:gridCol w:w="1163"/>
              <w:gridCol w:w="1163"/>
              <w:gridCol w:w="999"/>
            </w:tblGrid>
            <w:tr w:rsidR="00565B6B">
              <w:tblPrEx>
                <w:tblCellMar>
                  <w:top w:w="0" w:type="dxa"/>
                  <w:bottom w:w="0" w:type="dxa"/>
                </w:tblCellMar>
              </w:tblPrEx>
              <w:tc>
                <w:tcPr>
                  <w:tcW w:w="12690" w:type="dxa"/>
                  <w:gridSpan w:val="7"/>
                  <w:tcBorders>
                    <w:top w:val="nil"/>
                    <w:left w:val="nil"/>
                    <w:bottom w:val="nil"/>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cs="Calibri"/>
                      <w:noProof/>
                      <w:lang w:eastAsia="es-MX"/>
                    </w:rPr>
                    <w:t xml:space="preserve"> </w:t>
                  </w:r>
                  <w:r>
                    <w:rPr>
                      <w:rFonts w:ascii="Arial" w:hAnsi="Arial" w:cs="Arial"/>
                      <w:noProof/>
                      <w:sz w:val="23"/>
                      <w:szCs w:val="23"/>
                      <w:lang w:eastAsia="es-MX"/>
                    </w:rPr>
                    <w:drawing>
                      <wp:inline distT="0" distB="0" distL="0" distR="0">
                        <wp:extent cx="666750" cy="838200"/>
                        <wp:effectExtent l="0" t="0" r="0" b="0"/>
                        <wp:docPr id="129576194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 cy="838200"/>
                                </a:xfrm>
                                <a:prstGeom prst="rect">
                                  <a:avLst/>
                                </a:prstGeom>
                                <a:noFill/>
                                <a:ln>
                                  <a:noFill/>
                                </a:ln>
                              </pic:spPr>
                            </pic:pic>
                          </a:graphicData>
                        </a:graphic>
                      </wp:inline>
                    </w:drawing>
                  </w:r>
                  <w:r>
                    <w:rPr>
                      <w:rFonts w:cs="Calibri"/>
                      <w:noProof/>
                      <w:lang w:eastAsia="es-MX"/>
                    </w:rPr>
                    <w:t xml:space="preserve"> </w:t>
                  </w:r>
                  <w:r>
                    <w:rPr>
                      <w:rFonts w:ascii="Arial" w:hAnsi="Arial" w:cs="Arial"/>
                      <w:color w:val="000000"/>
                      <w:sz w:val="20"/>
                      <w:szCs w:val="20"/>
                      <w:lang w:eastAsia="es-MX"/>
                    </w:rPr>
                    <w:t xml:space="preserve"> </w:t>
                  </w:r>
                  <w:r>
                    <w:rPr>
                      <w:rFonts w:ascii="Tahoma" w:hAnsi="Tahoma" w:cs="Tahoma"/>
                      <w:color w:val="000000"/>
                      <w:sz w:val="28"/>
                      <w:szCs w:val="28"/>
                      <w:lang w:eastAsia="es-MX"/>
                    </w:rPr>
                    <w:t xml:space="preserve">MUNICIPIO DE TAMAZULA DE GORDIANO, JALISCO. </w:t>
                  </w:r>
                  <w:r>
                    <w:rPr>
                      <w:rFonts w:cs="Calibri"/>
                      <w:lang w:eastAsia="es-MX"/>
                    </w:rPr>
                    <w:t xml:space="preserve"> </w:t>
                  </w:r>
                </w:p>
              </w:tc>
            </w:tr>
            <w:tr w:rsidR="00565B6B">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Sistema Integral de Contabilidad Gubernamental</w:t>
                  </w:r>
                </w:p>
              </w:tc>
            </w:tr>
            <w:tr w:rsidR="00565B6B">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ESTADO ANALITICO DE INGRESOS DETALLADO - LDF</w:t>
                  </w:r>
                </w:p>
              </w:tc>
            </w:tr>
            <w:tr w:rsidR="00565B6B">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565B6B">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DEL 1 DE ENERO AL 31 DE DICIEMBRE DE 2022</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Concepto (c)</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Estimado  (d)</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Ampliaciones/R</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Modificado</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Devengado</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Recaudado</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Diferencia  (e)</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Ingresos de Libre Disposición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Impuestos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15,042,818.29</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2730640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17,773,458.29</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17,934,341.13</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17,934,341.13</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2,891,522.84</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Cuotas y Aportaciones de Seguridad Social</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Contribuciones de Mejoras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189000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189000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-189,000.00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D. Derechos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9,089,084.27</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9,089,084.27</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11,460,138.71</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11,460,138.71</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2,371,054.44</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Productos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5,369,285.00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5,369,285.00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2,317,946.84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2,317,946.84</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-3,051,338.16</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F. Aprovechamientos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1,865,516.00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1,865,516.00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1,769,355.17</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1,769,355.17</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-96,160.83</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G. Ingresos por Ventas de Bienes y Servicios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H. Participaciones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95,268,296.44</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95,268,296.44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96,136,560.82</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96,136,560.82</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868,264.38</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 Fondo General de Participaciones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71,545,679.44</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71,545,679.44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72,339,966.95</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72,339,966.95</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794,287.51</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h2) Fondo de Fomento Municipal</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11,336,116.00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11,336,116.00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11,648,646.84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11,648,646.84</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312,530.84</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h3) Fondo de Fiscalización y Recaudación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2,753,542.00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2,753,542.00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2,960,822.41</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2,960,822.41</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207,280.41</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h4) Fondo de Compensación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h5) Fondo de Extracción de Hidrocarburos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h6) Impuesto Especial Sobre Producción y Servicios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1,403,740.00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1,403,740.00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1,964,423.14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1,964,423.14</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560,683.14</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h7) 0.136% de la Recaudación Federal Participable</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h8) 3.17% Sobre Extracción de Petróleo</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h9) Gasolinas y Diésel</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385,416.00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385,416.00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1,346,060.87</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1,346,060.87</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960,644.87</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h10) Fondo del Impuesto Sobre la Renta</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7,843,803.00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7,843,803.00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5,876,640.61</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5,876,640.61</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-1,967,162.39</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h11) Fondo de Estabilización de los Ingresos de las Ent</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I. Incentivos Derivados de la Colaboración Fiscal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4,189,956.00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4,189,956.00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5,148,552.67</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5,148,552.67</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958,596.67</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i1) Tenencia o Uso de Vehículos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4,189,956.00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4,189,956.00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5,148,552.67</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5,148,552.67</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958,596.67</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i2) Fondo de Compensación ISAN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i3) Impuesto Sobre Automóviles Nuevos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i4) Fondo de Compensación de Repecos-Intermedios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i5) Otros Incentivos Económicos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J. Transferencias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 Convenios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k1) Otros Convenios y Subsidios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 Otros Ingresos de Libre Disposición (L=l1+l2)</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l1) Participaciones en Ingresos Locales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l2) Otros Ingresos de Libre Disposición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 Total de Ingresos de Libre Disposición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131,013,956.00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2730640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133,744,596.00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134,766,895.34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134,766,895.34</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3,752,939.34</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Ingresos Excedentes de Ingresos de Libre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Transferencias Federales Etiquetadas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Aportaciones (A=a1+a2+a3+a4+a5+a6+a7+a8)</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48,611,599.00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48,611,599.00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40,737,192.20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40,737,192.20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-7,874,406.80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a1) Fondo de Aportaciones para la Nómina Educativa y G</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a2) Fondo de Aportaciones para los Servicios de Salud</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a3) Fondo de Aportaciones para la Infraestructura Social</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16,529,415.00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16,529,415.00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11,665,192.24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11,665,192.24</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-4,864,222.76</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a4) Fondo de Aportaciones para el Fortalecimiento de los M</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32,082,184.00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32,082,184.00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29,071,999.96</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29,071,999.96</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-3,010,184.04</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a5) Fondo de Aportaciones Múltiples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a6) Fondo de Aportaciones para la Educación Tecnológica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a7) Fondo de Aportaciones para la Seguridad Pública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a8) Fondo de Aportaciones para el Fortalecimiento de las E</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Convenios (B=b1+b2+b3+b4)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1,453,000.00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1,453,000.00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1,453,000.00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b1) Convenios de Protección Social en Salud</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b2) Convenios de Descentralización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b3) Convenios de Reasignación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b4) Otros Convenios y Subsidios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1,453,000.00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1,453,000.00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1,453,000.00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Fondos Distintos de Aportaciones (C=c1+c2)</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c1) Fondo para Entidades Federativas y Municipios Prod</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c2) Fondo Minero</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D. Transferencias, Subsidios y Subvenciones, y Pensiones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Otras Transferencias Federales Etiquetadas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 Total de Transferencias Federales Etiq</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48,611,599.00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48,611,599.00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42,190,192.20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42,190,192.20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-6,421,406.80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III. Ingresos Derivados de Financiamientos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Ingresos Derivados de Financiamientos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IV. Total de Ingresos (IV = I + II + III)</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179,625,555.00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2730640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182,356,195.00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176,957,087.54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176,957,087.54</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-2,668,467.46</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Datos Informativos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1. Ingresos Derivados de Financiamientos con Fuente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2. Ingresos Derivados de Financiamientos con Fuente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3. Ingresos Derivados de Financiamientos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bl>
          <w:p w:rsidR="00565B6B" w:rsidRDefault="00565B6B" w:rsidP="00565B6B">
            <w:pPr>
              <w:tabs>
                <w:tab w:val="left" w:pos="960"/>
              </w:tabs>
              <w:autoSpaceDE w:val="0"/>
              <w:autoSpaceDN w:val="0"/>
              <w:adjustRightInd w:val="0"/>
              <w:spacing w:after="0" w:line="240" w:lineRule="auto"/>
              <w:jc w:val="both"/>
              <w:rPr>
                <w:rFonts w:ascii="Arial" w:hAnsi="Arial" w:cs="Arial"/>
                <w:color w:val="000000"/>
                <w:lang w:eastAsia="es-MX"/>
              </w:rPr>
            </w:pPr>
          </w:p>
          <w:p w:rsidR="00565B6B" w:rsidRDefault="00565B6B" w:rsidP="00565B6B">
            <w:pPr>
              <w:autoSpaceDE w:val="0"/>
              <w:autoSpaceDN w:val="0"/>
              <w:adjustRightInd w:val="0"/>
              <w:spacing w:after="0" w:line="240" w:lineRule="auto"/>
              <w:jc w:val="both"/>
              <w:rPr>
                <w:rFonts w:ascii="Arial" w:hAnsi="Arial" w:cs="Arial"/>
                <w:color w:val="000000"/>
                <w:lang w:eastAsia="es-MX"/>
              </w:rPr>
            </w:pPr>
          </w:p>
          <w:p w:rsidR="00565B6B" w:rsidRDefault="00565B6B" w:rsidP="00565B6B">
            <w:pPr>
              <w:autoSpaceDE w:val="0"/>
              <w:autoSpaceDN w:val="0"/>
              <w:adjustRightInd w:val="0"/>
              <w:spacing w:after="0" w:line="240" w:lineRule="auto"/>
              <w:jc w:val="both"/>
              <w:rPr>
                <w:rFonts w:ascii="Arial" w:hAnsi="Arial" w:cs="Arial"/>
                <w:color w:val="000000"/>
                <w:lang w:eastAsia="es-MX"/>
              </w:rPr>
            </w:pPr>
          </w:p>
          <w:p w:rsidR="00565B6B" w:rsidRDefault="00565B6B" w:rsidP="00565B6B">
            <w:pPr>
              <w:autoSpaceDE w:val="0"/>
              <w:autoSpaceDN w:val="0"/>
              <w:adjustRightInd w:val="0"/>
              <w:spacing w:after="0" w:line="240" w:lineRule="auto"/>
              <w:jc w:val="both"/>
              <w:rPr>
                <w:rFonts w:ascii="Arial" w:hAnsi="Arial" w:cs="Arial"/>
                <w:color w:val="000000"/>
                <w:lang w:eastAsia="es-MX"/>
              </w:rPr>
            </w:pPr>
          </w:p>
          <w:p w:rsidR="00565B6B" w:rsidRDefault="00565B6B" w:rsidP="00565B6B">
            <w:pPr>
              <w:autoSpaceDE w:val="0"/>
              <w:autoSpaceDN w:val="0"/>
              <w:adjustRightInd w:val="0"/>
              <w:spacing w:after="160" w:line="252" w:lineRule="auto"/>
              <w:ind w:left="720" w:hanging="360"/>
              <w:jc w:val="both"/>
              <w:rPr>
                <w:rFonts w:ascii="Arial" w:hAnsi="Arial" w:cs="Arial"/>
                <w:sz w:val="24"/>
                <w:szCs w:val="24"/>
                <w:lang w:eastAsia="es-MX"/>
              </w:rPr>
            </w:pPr>
            <w:r>
              <w:rPr>
                <w:rFonts w:ascii="Arial" w:hAnsi="Arial" w:cs="Arial"/>
                <w:sz w:val="24"/>
                <w:szCs w:val="24"/>
                <w:lang w:eastAsia="es-MX"/>
              </w:rPr>
              <w:t>b)</w:t>
            </w:r>
            <w:r>
              <w:rPr>
                <w:rFonts w:ascii="Arial" w:hAnsi="Arial" w:cs="Arial"/>
                <w:sz w:val="24"/>
                <w:szCs w:val="24"/>
                <w:lang w:eastAsia="es-MX"/>
              </w:rPr>
              <w:tab/>
              <w:t>Proyección de la recaudación e ingresos en el mediano plazo.</w:t>
            </w:r>
          </w:p>
          <w:p w:rsidR="00565B6B" w:rsidRDefault="00565B6B" w:rsidP="00565B6B">
            <w:pPr>
              <w:autoSpaceDE w:val="0"/>
              <w:autoSpaceDN w:val="0"/>
              <w:adjustRightInd w:val="0"/>
              <w:spacing w:after="160" w:line="252" w:lineRule="auto"/>
              <w:jc w:val="both"/>
              <w:rPr>
                <w:rFonts w:ascii="Arial" w:hAnsi="Arial" w:cs="Arial"/>
                <w:sz w:val="24"/>
                <w:szCs w:val="24"/>
                <w:lang w:eastAsia="es-MX"/>
              </w:rPr>
            </w:pPr>
          </w:p>
          <w:tbl>
            <w:tblPr>
              <w:tblW w:w="0" w:type="auto"/>
              <w:tblCellMar>
                <w:left w:w="70" w:type="dxa"/>
                <w:right w:w="70" w:type="dxa"/>
              </w:tblCellMar>
              <w:tblLook w:val="0000" w:firstRow="0" w:lastRow="0" w:firstColumn="0" w:lastColumn="0" w:noHBand="0" w:noVBand="0"/>
            </w:tblPr>
            <w:tblGrid>
              <w:gridCol w:w="1915"/>
              <w:gridCol w:w="1163"/>
              <w:gridCol w:w="1038"/>
              <w:gridCol w:w="1163"/>
              <w:gridCol w:w="1163"/>
              <w:gridCol w:w="1163"/>
              <w:gridCol w:w="999"/>
            </w:tblGrid>
            <w:tr w:rsidR="00565B6B">
              <w:tblPrEx>
                <w:tblCellMar>
                  <w:top w:w="0" w:type="dxa"/>
                  <w:bottom w:w="0" w:type="dxa"/>
                </w:tblCellMar>
              </w:tblPrEx>
              <w:tc>
                <w:tcPr>
                  <w:tcW w:w="12690" w:type="dxa"/>
                  <w:gridSpan w:val="7"/>
                  <w:tcBorders>
                    <w:top w:val="nil"/>
                    <w:left w:val="nil"/>
                    <w:bottom w:val="nil"/>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cs="Calibri"/>
                      <w:noProof/>
                      <w:lang w:eastAsia="es-MX"/>
                    </w:rPr>
                    <w:t xml:space="preserve"> </w:t>
                  </w:r>
                  <w:r>
                    <w:rPr>
                      <w:rFonts w:ascii="Arial" w:hAnsi="Arial" w:cs="Arial"/>
                      <w:noProof/>
                      <w:sz w:val="23"/>
                      <w:szCs w:val="23"/>
                      <w:lang w:eastAsia="es-MX"/>
                    </w:rPr>
                    <w:drawing>
                      <wp:inline distT="0" distB="0" distL="0" distR="0">
                        <wp:extent cx="666750" cy="838200"/>
                        <wp:effectExtent l="0" t="0" r="0" b="0"/>
                        <wp:docPr id="135558307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 cy="838200"/>
                                </a:xfrm>
                                <a:prstGeom prst="rect">
                                  <a:avLst/>
                                </a:prstGeom>
                                <a:noFill/>
                                <a:ln>
                                  <a:noFill/>
                                </a:ln>
                              </pic:spPr>
                            </pic:pic>
                          </a:graphicData>
                        </a:graphic>
                      </wp:inline>
                    </w:drawing>
                  </w:r>
                  <w:r>
                    <w:rPr>
                      <w:rFonts w:cs="Calibri"/>
                      <w:noProof/>
                      <w:lang w:eastAsia="es-MX"/>
                    </w:rPr>
                    <w:t xml:space="preserve"> </w:t>
                  </w:r>
                  <w:r>
                    <w:rPr>
                      <w:rFonts w:ascii="Arial" w:hAnsi="Arial" w:cs="Arial"/>
                      <w:color w:val="000000"/>
                      <w:sz w:val="20"/>
                      <w:szCs w:val="20"/>
                      <w:lang w:eastAsia="es-MX"/>
                    </w:rPr>
                    <w:t xml:space="preserve"> </w:t>
                  </w:r>
                  <w:r>
                    <w:rPr>
                      <w:rFonts w:ascii="Tahoma" w:hAnsi="Tahoma" w:cs="Tahoma"/>
                      <w:color w:val="000000"/>
                      <w:sz w:val="28"/>
                      <w:szCs w:val="28"/>
                      <w:lang w:eastAsia="es-MX"/>
                    </w:rPr>
                    <w:t xml:space="preserve">MUNICIPIO DE TAMAZULA DE GORDIANO, JALISCO. </w:t>
                  </w:r>
                  <w:r>
                    <w:rPr>
                      <w:rFonts w:cs="Calibri"/>
                      <w:lang w:eastAsia="es-MX"/>
                    </w:rPr>
                    <w:t xml:space="preserve"> </w:t>
                  </w:r>
                </w:p>
              </w:tc>
            </w:tr>
            <w:tr w:rsidR="00565B6B">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Sistema Integral de Contabilidad Gubernamental</w:t>
                  </w:r>
                </w:p>
              </w:tc>
            </w:tr>
            <w:tr w:rsidR="00565B6B">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ESTADO ANALITICO DE INGRESOS DETALLADO - LDF</w:t>
                  </w:r>
                </w:p>
              </w:tc>
            </w:tr>
            <w:tr w:rsidR="00565B6B">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565B6B">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DEL 1 DE ENERO AL 31 DE DICIEMBRE DE 2022</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Concepto (c)</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Estimado  (d)</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Ampliaciones/R</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Modificado</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Devengado</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Recaudado</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Diferencia  (e)</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Ingresos de Libre Disposición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Impuestos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15,042,818.29</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2730640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17,773,458.29</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17,934,341.13</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17,934,341.13</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2,891,522.84</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Cuotas y Aportaciones de Seguridad Social</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Contribuciones de Mejoras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189000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189000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-189,000.00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D. Derechos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9,089,084.27</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9,089,084.27</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11,460,138.71</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11,460,138.71</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2,371,054.44</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Productos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5,369,285.00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5,369,285.00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2,317,946.84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2,317,946.84</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-3,051,338.16</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F. Aprovechamientos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1,865,516.00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1,865,516.00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1,769,355.17</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1,769,355.17</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-96,160.83</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G. Ingresos por Ventas de Bienes y Servicios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H. Participaciones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95,268,296.44</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95,268,296.44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96,136,560.82</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96,136,560.82</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868,264.38</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 Fondo General de Participaciones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71,545,679.44</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71,545,679.44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72,339,966.95</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72,339,966.95</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794,287.51</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h2) Fondo de Fomento Municipal</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11,336,116.00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11,336,116.00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11,648,646.84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11,648,646.84</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312,530.84</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h3) Fondo de Fiscalización y Recaudación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2,753,542.00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2,753,542.00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2,960,822.41</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2,960,822.41</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207,280.41</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h4) Fondo de Compensación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h5) Fondo de Extracción de Hidrocarburos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h6) Impuesto Especial Sobre Producción y Servicios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1,403,740.00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1,403,740.00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1,964,423.14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1,964,423.14</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560,683.14</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h7) 0.136% de la Recaudación Federal Participable</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h8) 3.17% Sobre Extracción de Petróleo</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h9) Gasolinas y Diésel</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385,416.00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385,416.00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1,346,060.87</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1,346,060.87</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960,644.87</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h10) Fondo del Impuesto Sobre la Renta</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7,843,803.00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7,843,803.00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5,876,640.61</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5,876,640.61</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-1,967,162.39</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h11) Fondo de Estabilización de los Ingresos de las Ent</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I. Incentivos Derivados de la Colaboración Fiscal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4,189,956.00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4,189,956.00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5,148,552.67</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5,148,552.67</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958,596.67</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i1) Tenencia o Uso de Vehículos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4,189,956.00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4,189,956.00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5,148,552.67</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5,148,552.67</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958,596.67</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i2) Fondo de Compensación ISAN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i3) Impuesto Sobre Automóviles Nuevos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i4) Fondo de Compensación de Repecos-Intermedios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i5) Otros Incentivos Económicos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J. Transferencias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 Convenios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k1) Otros Convenios y Subsidios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 Otros Ingresos de Libre Disposición (L=l1+l2)</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l1) Participaciones en Ingresos Locales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l2) Otros Ingresos de Libre Disposición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 Total de Ingresos de Libre Disposición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131,013,956.00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2730640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133,744,596.00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134,766,895.34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134,766,895.34</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3,752,939.34</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Ingresos Excedentes de Ingresos de Libre D</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Transferencias Federales Etiquetadas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Aportaciones (A=a1+a2+a3+a4+a5+a6+a7+a8)</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48,611,599.00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48,611,599.00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40,737,192.20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40,737,192.20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-7,874,406.80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a1) Fondo de Aportaciones para la Nómina Educativa y G</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a2) Fondo de Aportaciones para los Servicios de Salud</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a3) Fondo de Aportaciones para la Infraestructura Social</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16,529,415.00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16,529,415.00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11,665,192.24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11,665,192.24</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-4,864,222.76</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a4) Fondo de Aportaciones para el Fortalecimiento de los M</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32,082,184.00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32,082,184.00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29,071,999.96</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29,071,999.96</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-3,010,184.04</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a5) Fondo de Aportaciones Múltiples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a6) Fondo de Aportaciones para la Educación Tecnológica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a7) Fondo de Aportaciones para la Seguridad Pública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a8) Fondo de Aportaciones para el Fortalecimiento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Convenios (B=b1+b2+b3+b4)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1,453,000.00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1,453,000.00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1,453,000.00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b1) Convenios de Protección Social en Salud</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b2) Convenios de Descentralización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b3) Convenios de Reasignación</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b4) Otros Convenios y Subsidios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1,453,000.00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1,453,000.00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1,453,000.00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Fondos Distintos de Aportaciones (C=c1+c2)</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c1) Fondo para Entidades Federativas y Municipios Prod</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c2) Fondo Minero</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D. Transferencias, Subsidios y Subvenciones, y Pensiones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Otras Transferencias Federales Etiquetadas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 Total de Transferencias Federales Etiq</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48,611,599.00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48,611,599.00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42,190,192.20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42,190,192.20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-6,421,406.80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III. Ingresos Derivados de Financiamientos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Ingresos Derivados de Financiamientos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IV. Total de Ingresos (IV = I + II + III)</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179,625,555.00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2730640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182,356,195.00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176,957,087.54</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176,957,087.54</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-2,668,467.46</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Datos Informativos</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1. Ingresos Derivados de Financiamientos con Fuente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2. Ingresos Derivados de Financiamientos con Fuente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3833"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3. Ingresos Derivados de Financiamientos </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37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1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38"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bl>
          <w:p w:rsidR="00565B6B" w:rsidRDefault="00565B6B" w:rsidP="00565B6B">
            <w:pPr>
              <w:autoSpaceDE w:val="0"/>
              <w:autoSpaceDN w:val="0"/>
              <w:adjustRightInd w:val="0"/>
              <w:spacing w:after="160" w:line="252" w:lineRule="auto"/>
              <w:jc w:val="both"/>
              <w:rPr>
                <w:rFonts w:ascii="Arial" w:hAnsi="Arial" w:cs="Arial"/>
                <w:sz w:val="24"/>
                <w:szCs w:val="24"/>
                <w:lang w:eastAsia="es-MX"/>
              </w:rPr>
            </w:pPr>
          </w:p>
          <w:p w:rsidR="00565B6B" w:rsidRDefault="00565B6B" w:rsidP="00565B6B">
            <w:pPr>
              <w:autoSpaceDE w:val="0"/>
              <w:autoSpaceDN w:val="0"/>
              <w:adjustRightInd w:val="0"/>
              <w:spacing w:after="160" w:line="252" w:lineRule="auto"/>
              <w:jc w:val="both"/>
              <w:rPr>
                <w:rFonts w:ascii="Arial" w:hAnsi="Arial" w:cs="Arial"/>
                <w:sz w:val="24"/>
                <w:szCs w:val="24"/>
                <w:lang w:eastAsia="es-MX"/>
              </w:rPr>
            </w:pPr>
          </w:p>
          <w:p w:rsidR="00565B6B" w:rsidRDefault="00565B6B" w:rsidP="00565B6B">
            <w:pPr>
              <w:autoSpaceDE w:val="0"/>
              <w:autoSpaceDN w:val="0"/>
              <w:adjustRightInd w:val="0"/>
              <w:spacing w:after="160" w:line="252" w:lineRule="auto"/>
              <w:jc w:val="both"/>
              <w:rPr>
                <w:rFonts w:ascii="Arial" w:hAnsi="Arial" w:cs="Arial"/>
                <w:sz w:val="24"/>
                <w:szCs w:val="24"/>
                <w:lang w:eastAsia="es-MX"/>
              </w:rPr>
            </w:pPr>
          </w:p>
          <w:p w:rsidR="00565B6B" w:rsidRDefault="00565B6B" w:rsidP="00565B6B">
            <w:pPr>
              <w:autoSpaceDE w:val="0"/>
              <w:autoSpaceDN w:val="0"/>
              <w:adjustRightInd w:val="0"/>
              <w:spacing w:after="160" w:line="252" w:lineRule="auto"/>
              <w:jc w:val="both"/>
              <w:rPr>
                <w:rFonts w:ascii="Arial" w:hAnsi="Arial" w:cs="Arial"/>
                <w:sz w:val="24"/>
                <w:szCs w:val="24"/>
                <w:lang w:eastAsia="es-MX"/>
              </w:rPr>
            </w:pPr>
          </w:p>
          <w:p w:rsidR="00565B6B" w:rsidRDefault="00565B6B" w:rsidP="00565B6B">
            <w:pPr>
              <w:autoSpaceDE w:val="0"/>
              <w:autoSpaceDN w:val="0"/>
              <w:adjustRightInd w:val="0"/>
              <w:spacing w:after="160" w:line="252" w:lineRule="auto"/>
              <w:jc w:val="both"/>
              <w:rPr>
                <w:rFonts w:ascii="Arial" w:hAnsi="Arial" w:cs="Arial"/>
                <w:sz w:val="24"/>
                <w:szCs w:val="24"/>
                <w:lang w:eastAsia="es-MX"/>
              </w:rPr>
            </w:pPr>
          </w:p>
          <w:p w:rsidR="00565B6B" w:rsidRDefault="00565B6B" w:rsidP="00565B6B">
            <w:pPr>
              <w:autoSpaceDE w:val="0"/>
              <w:autoSpaceDN w:val="0"/>
              <w:adjustRightInd w:val="0"/>
              <w:spacing w:after="160" w:line="252" w:lineRule="auto"/>
              <w:jc w:val="both"/>
              <w:rPr>
                <w:rFonts w:ascii="Arial" w:hAnsi="Arial" w:cs="Arial"/>
                <w:b/>
                <w:bCs/>
                <w:sz w:val="16"/>
                <w:szCs w:val="16"/>
                <w:lang w:eastAsia="es-MX"/>
              </w:rPr>
            </w:pPr>
            <w:r>
              <w:rPr>
                <w:rFonts w:ascii="Arial" w:hAnsi="Arial" w:cs="Arial"/>
                <w:b/>
                <w:bCs/>
                <w:sz w:val="16"/>
                <w:szCs w:val="16"/>
                <w:lang w:eastAsia="es-MX"/>
              </w:rPr>
              <w:t>11. Información sobre la Deuda y el Reporte Analítico de la Deuda</w:t>
            </w:r>
          </w:p>
          <w:p w:rsidR="00565B6B" w:rsidRDefault="00565B6B" w:rsidP="00565B6B">
            <w:pPr>
              <w:autoSpaceDE w:val="0"/>
              <w:autoSpaceDN w:val="0"/>
              <w:adjustRightInd w:val="0"/>
              <w:spacing w:after="0" w:line="240" w:lineRule="auto"/>
              <w:ind w:left="720" w:hanging="360"/>
              <w:jc w:val="both"/>
              <w:rPr>
                <w:rFonts w:ascii="Arial" w:hAnsi="Arial" w:cs="Arial"/>
                <w:color w:val="000000"/>
                <w:sz w:val="16"/>
                <w:szCs w:val="16"/>
                <w:lang w:eastAsia="es-MX"/>
              </w:rPr>
            </w:pPr>
            <w:r>
              <w:rPr>
                <w:rFonts w:ascii="Arial" w:hAnsi="Arial" w:cs="Arial"/>
                <w:color w:val="000000"/>
                <w:sz w:val="16"/>
                <w:szCs w:val="16"/>
                <w:lang w:eastAsia="es-MX"/>
              </w:rPr>
              <w:t>a)</w:t>
            </w:r>
            <w:r>
              <w:rPr>
                <w:rFonts w:ascii="Arial" w:hAnsi="Arial" w:cs="Arial"/>
                <w:color w:val="000000"/>
                <w:sz w:val="16"/>
                <w:szCs w:val="16"/>
                <w:lang w:eastAsia="es-MX"/>
              </w:rPr>
              <w:tab/>
              <w:t xml:space="preserve">Utilizar al menos los siguientes indicadores: deuda respecto al PIB y deuda respecto a la recaudación tomando, como mínimo, un período igual o menor a 5 años. </w:t>
            </w:r>
          </w:p>
          <w:p w:rsidR="00565B6B" w:rsidRDefault="00565B6B" w:rsidP="00565B6B">
            <w:pPr>
              <w:autoSpaceDE w:val="0"/>
              <w:autoSpaceDN w:val="0"/>
              <w:adjustRightInd w:val="0"/>
              <w:spacing w:after="0" w:line="240" w:lineRule="auto"/>
              <w:ind w:left="720" w:hanging="360"/>
              <w:jc w:val="both"/>
              <w:rPr>
                <w:rFonts w:ascii="Arial" w:hAnsi="Arial" w:cs="Arial"/>
                <w:color w:val="000000"/>
                <w:sz w:val="16"/>
                <w:szCs w:val="16"/>
                <w:lang w:eastAsia="es-MX"/>
              </w:rPr>
            </w:pPr>
            <w:r>
              <w:rPr>
                <w:rFonts w:ascii="Arial" w:hAnsi="Arial" w:cs="Arial"/>
                <w:color w:val="000000"/>
                <w:sz w:val="16"/>
                <w:szCs w:val="16"/>
                <w:lang w:eastAsia="es-MX"/>
              </w:rPr>
              <w:t>b)</w:t>
            </w:r>
            <w:r>
              <w:rPr>
                <w:rFonts w:ascii="Arial" w:hAnsi="Arial" w:cs="Arial"/>
                <w:color w:val="000000"/>
                <w:sz w:val="16"/>
                <w:szCs w:val="16"/>
                <w:lang w:eastAsia="es-MX"/>
              </w:rPr>
              <w:tab/>
              <w:t>Información de manera agrupada por tipo de valor gubernamental o instrumento financiero en la que se consideren intereses, comisiones, tasa, perfil de vencimiento y otros gastos de la deuda.</w:t>
            </w:r>
          </w:p>
          <w:p w:rsidR="00565B6B" w:rsidRDefault="00565B6B" w:rsidP="00565B6B">
            <w:pPr>
              <w:autoSpaceDE w:val="0"/>
              <w:autoSpaceDN w:val="0"/>
              <w:adjustRightInd w:val="0"/>
              <w:spacing w:after="0" w:line="240" w:lineRule="auto"/>
              <w:ind w:left="720"/>
              <w:jc w:val="both"/>
              <w:rPr>
                <w:rFonts w:ascii="Arial" w:hAnsi="Arial" w:cs="Arial"/>
                <w:color w:val="000000"/>
                <w:sz w:val="16"/>
                <w:szCs w:val="16"/>
                <w:lang w:eastAsia="es-MX"/>
              </w:rPr>
            </w:pPr>
          </w:p>
          <w:p w:rsidR="00565B6B" w:rsidRDefault="00565B6B" w:rsidP="00565B6B">
            <w:pPr>
              <w:autoSpaceDE w:val="0"/>
              <w:autoSpaceDN w:val="0"/>
              <w:adjustRightInd w:val="0"/>
              <w:spacing w:after="0" w:line="240" w:lineRule="auto"/>
              <w:ind w:left="720"/>
              <w:jc w:val="both"/>
              <w:rPr>
                <w:rFonts w:ascii="Arial" w:hAnsi="Arial" w:cs="Arial"/>
                <w:color w:val="000000"/>
                <w:sz w:val="16"/>
                <w:szCs w:val="16"/>
                <w:lang w:eastAsia="es-MX"/>
              </w:rPr>
            </w:pPr>
          </w:p>
          <w:tbl>
            <w:tblPr>
              <w:tblW w:w="0" w:type="auto"/>
              <w:tblCellMar>
                <w:left w:w="70" w:type="dxa"/>
                <w:right w:w="70" w:type="dxa"/>
              </w:tblCellMar>
              <w:tblLook w:val="0000" w:firstRow="0" w:lastRow="0" w:firstColumn="0" w:lastColumn="0" w:noHBand="0" w:noVBand="0"/>
            </w:tblPr>
            <w:tblGrid>
              <w:gridCol w:w="1252"/>
              <w:gridCol w:w="1143"/>
              <w:gridCol w:w="1196"/>
              <w:gridCol w:w="1334"/>
              <w:gridCol w:w="1178"/>
              <w:gridCol w:w="1143"/>
              <w:gridCol w:w="925"/>
              <w:gridCol w:w="441"/>
            </w:tblGrid>
            <w:tr w:rsidR="00565B6B">
              <w:tblPrEx>
                <w:tblCellMar>
                  <w:top w:w="0" w:type="dxa"/>
                  <w:bottom w:w="0" w:type="dxa"/>
                </w:tblCellMar>
              </w:tblPrEx>
              <w:tc>
                <w:tcPr>
                  <w:tcW w:w="14096" w:type="dxa"/>
                  <w:gridSpan w:val="8"/>
                  <w:tcBorders>
                    <w:top w:val="nil"/>
                    <w:left w:val="nil"/>
                    <w:bottom w:val="nil"/>
                    <w:right w:val="nil"/>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cs="Calibri"/>
                      <w:noProof/>
                      <w:lang w:eastAsia="es-MX"/>
                    </w:rPr>
                    <w:t xml:space="preserve"> </w:t>
                  </w:r>
                  <w:r>
                    <w:rPr>
                      <w:rFonts w:ascii="Arial" w:hAnsi="Arial" w:cs="Arial"/>
                      <w:noProof/>
                      <w:sz w:val="23"/>
                      <w:szCs w:val="23"/>
                      <w:lang w:eastAsia="es-MX"/>
                    </w:rPr>
                    <w:drawing>
                      <wp:inline distT="0" distB="0" distL="0" distR="0">
                        <wp:extent cx="666750" cy="838200"/>
                        <wp:effectExtent l="0" t="0" r="0" b="0"/>
                        <wp:docPr id="18630645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 cy="838200"/>
                                </a:xfrm>
                                <a:prstGeom prst="rect">
                                  <a:avLst/>
                                </a:prstGeom>
                                <a:noFill/>
                                <a:ln>
                                  <a:noFill/>
                                </a:ln>
                              </pic:spPr>
                            </pic:pic>
                          </a:graphicData>
                        </a:graphic>
                      </wp:inline>
                    </w:drawing>
                  </w:r>
                  <w:r>
                    <w:rPr>
                      <w:rFonts w:cs="Calibri"/>
                      <w:noProof/>
                      <w:lang w:eastAsia="es-MX"/>
                    </w:rPr>
                    <w:t xml:space="preserve"> </w:t>
                  </w:r>
                  <w:r>
                    <w:rPr>
                      <w:rFonts w:ascii="Arial" w:hAnsi="Arial" w:cs="Arial"/>
                      <w:color w:val="000000"/>
                      <w:sz w:val="20"/>
                      <w:szCs w:val="20"/>
                      <w:lang w:eastAsia="es-MX"/>
                    </w:rPr>
                    <w:t xml:space="preserve"> </w:t>
                  </w:r>
                  <w:r>
                    <w:rPr>
                      <w:rFonts w:ascii="Tahoma" w:hAnsi="Tahoma" w:cs="Tahoma"/>
                      <w:color w:val="000000"/>
                      <w:sz w:val="28"/>
                      <w:szCs w:val="28"/>
                      <w:lang w:eastAsia="es-MX"/>
                    </w:rPr>
                    <w:t xml:space="preserve">MUNICIPIO DE TAMAZULA DE GORDIANO, JALISCO. </w:t>
                  </w:r>
                  <w:r>
                    <w:rPr>
                      <w:rFonts w:cs="Calibri"/>
                      <w:lang w:eastAsia="es-MX"/>
                    </w:rPr>
                    <w:t xml:space="preserve"> </w:t>
                  </w:r>
                </w:p>
              </w:tc>
            </w:tr>
            <w:tr w:rsidR="00565B6B">
              <w:tblPrEx>
                <w:tblCellMar>
                  <w:top w:w="0" w:type="dxa"/>
                  <w:bottom w:w="0" w:type="dxa"/>
                </w:tblCellMar>
              </w:tblPrEx>
              <w:tc>
                <w:tcPr>
                  <w:tcW w:w="14096" w:type="dxa"/>
                  <w:gridSpan w:val="8"/>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Sistema Integral de Contabilidad Gubernamental</w:t>
                  </w:r>
                </w:p>
              </w:tc>
            </w:tr>
            <w:tr w:rsidR="00565B6B">
              <w:tblPrEx>
                <w:tblCellMar>
                  <w:top w:w="0" w:type="dxa"/>
                  <w:bottom w:w="0" w:type="dxa"/>
                </w:tblCellMar>
              </w:tblPrEx>
              <w:tc>
                <w:tcPr>
                  <w:tcW w:w="14096" w:type="dxa"/>
                  <w:gridSpan w:val="8"/>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INFORME ANALITICO DE LA DEUDA PUBLICA Y OTROS PASIVOS - LDF</w:t>
                  </w:r>
                </w:p>
              </w:tc>
            </w:tr>
            <w:tr w:rsidR="00565B6B">
              <w:tblPrEx>
                <w:tblCellMar>
                  <w:top w:w="0" w:type="dxa"/>
                  <w:bottom w:w="0" w:type="dxa"/>
                </w:tblCellMar>
              </w:tblPrEx>
              <w:tc>
                <w:tcPr>
                  <w:tcW w:w="14096" w:type="dxa"/>
                  <w:gridSpan w:val="8"/>
                  <w:tcBorders>
                    <w:top w:val="single" w:sz="6" w:space="0" w:color="auto"/>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DEL 1 DE ENERO AL 31 DE DICIEMBRE DE 2022</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Denominación de la Deuda Pública y Otros Pasivos (c)</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Saldo al 31/Dic</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Disposiciones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Amortizaciones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Revaluaciones</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Saldo Final </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Pago de Int</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Pago de C</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 Deuda Pública (1=A+B)</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46,470,109.65</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6,265,632.76</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0.00</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40,204,476.89</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871,850.13</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A. Corto Plazo (A=a1+a2+a3)</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6,265,632.76</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6,265,632.76</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871,850.13</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a1) Instituciones de Crédito</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6,265,632.76</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6,265,632.76</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871,850.13</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a2) Títulos y Valores</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a3) Arrendamientos Financieros</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B. Largo Plazo (B=b1+b2+b3)</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46,470,109.65</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-6,265,632.76</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40,204,476.89</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b1) Instituciones de Crédito</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46,470,109.65</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-6,265,632.76</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40,204,476.89</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b2) Títulos y Valores</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b3) Arrendamientos Financieros</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 Otros Pasivos</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21,294,142.01</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23,577,129.49</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3. Total de la Deuda Pública y Otros Pasivos </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67,764,251.66</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6,265,632.76</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0.00</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63,781,606.38</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871,850.13</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 Deuda Contingente ¹ (informativo)</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 Deuda Contingente 1</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 Deuda Contingente 2</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C) Deuda Contingente XX</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 Valor de Instrumentos Bono Cupón Cero ² (Informativ</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 Instrumento Bono Cupón Cero 1</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 Instrumento Bono Cupón Cero 2</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C) Instrumento Bono Cupón Cero XX</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¹ Se refiere a cualquier Financiamiento sin fuente o garantía de pago definida, que sea asumida de manera solidaria o subsidiaria por las Entidades Federativas con sus Municipios, organismos descentralizados y empresas </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² Se refiere al valor del Bono Cupón Cero que respalda el pago de los créditos</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Denominación de la Deuda Pública y Otros Pasivos </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Saldo al 31D</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Disposiciones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Amortizaciones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Revaluacione</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Saldo Final </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 Obligaciones a Corto Plazo (Informativo)</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 Crédito 1</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 Crédito 2</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565B6B">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C) Crédito XX</w:t>
                  </w:r>
                </w:p>
              </w:tc>
              <w:tc>
                <w:tcPr>
                  <w:tcW w:w="132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rsidR="00565B6B" w:rsidRDefault="00565B6B" w:rsidP="00565B6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bl>
          <w:p w:rsidR="00565B6B" w:rsidRDefault="00565B6B" w:rsidP="00565B6B">
            <w:pPr>
              <w:autoSpaceDE w:val="0"/>
              <w:autoSpaceDN w:val="0"/>
              <w:adjustRightInd w:val="0"/>
              <w:spacing w:after="0" w:line="240" w:lineRule="auto"/>
              <w:ind w:left="720"/>
              <w:jc w:val="both"/>
              <w:rPr>
                <w:rFonts w:ascii="Arial" w:hAnsi="Arial" w:cs="Arial"/>
                <w:color w:val="000000"/>
                <w:sz w:val="16"/>
                <w:szCs w:val="16"/>
                <w:lang w:eastAsia="es-MX"/>
              </w:rPr>
            </w:pPr>
          </w:p>
          <w:p w:rsidR="00565B6B" w:rsidRDefault="00565B6B" w:rsidP="00565B6B">
            <w:pPr>
              <w:autoSpaceDE w:val="0"/>
              <w:autoSpaceDN w:val="0"/>
              <w:adjustRightInd w:val="0"/>
              <w:spacing w:after="0" w:line="240" w:lineRule="auto"/>
              <w:ind w:left="720"/>
              <w:jc w:val="both"/>
              <w:rPr>
                <w:rFonts w:ascii="Arial" w:hAnsi="Arial" w:cs="Arial"/>
                <w:color w:val="000000"/>
                <w:sz w:val="16"/>
                <w:szCs w:val="16"/>
                <w:lang w:eastAsia="es-MX"/>
              </w:rPr>
            </w:pPr>
          </w:p>
          <w:p w:rsidR="00565B6B" w:rsidRDefault="00565B6B" w:rsidP="00565B6B">
            <w:pPr>
              <w:autoSpaceDE w:val="0"/>
              <w:autoSpaceDN w:val="0"/>
              <w:adjustRightInd w:val="0"/>
              <w:spacing w:after="0" w:line="240" w:lineRule="auto"/>
              <w:ind w:left="720"/>
              <w:jc w:val="both"/>
              <w:rPr>
                <w:rFonts w:ascii="Arial" w:hAnsi="Arial" w:cs="Arial"/>
                <w:color w:val="000000"/>
                <w:sz w:val="16"/>
                <w:szCs w:val="16"/>
                <w:lang w:eastAsia="es-MX"/>
              </w:rPr>
            </w:pPr>
          </w:p>
          <w:p w:rsidR="00565B6B" w:rsidRDefault="00565B6B" w:rsidP="00565B6B">
            <w:pPr>
              <w:autoSpaceDE w:val="0"/>
              <w:autoSpaceDN w:val="0"/>
              <w:adjustRightInd w:val="0"/>
              <w:spacing w:after="0" w:line="240" w:lineRule="auto"/>
              <w:ind w:left="720"/>
              <w:jc w:val="both"/>
              <w:rPr>
                <w:rFonts w:ascii="Arial" w:hAnsi="Arial" w:cs="Arial"/>
                <w:color w:val="000000"/>
                <w:sz w:val="16"/>
                <w:szCs w:val="16"/>
                <w:lang w:eastAsia="es-MX"/>
              </w:rPr>
            </w:pPr>
          </w:p>
          <w:p w:rsidR="00565B6B" w:rsidRDefault="00565B6B" w:rsidP="00565B6B">
            <w:pPr>
              <w:autoSpaceDE w:val="0"/>
              <w:autoSpaceDN w:val="0"/>
              <w:adjustRightInd w:val="0"/>
              <w:spacing w:after="0" w:line="240" w:lineRule="auto"/>
              <w:jc w:val="both"/>
              <w:rPr>
                <w:rFonts w:ascii="Arial" w:hAnsi="Arial" w:cs="Arial"/>
                <w:b/>
                <w:bCs/>
                <w:color w:val="000000"/>
                <w:sz w:val="16"/>
                <w:szCs w:val="16"/>
                <w:lang w:eastAsia="es-MX"/>
              </w:rPr>
            </w:pPr>
            <w:r>
              <w:rPr>
                <w:rFonts w:ascii="Arial" w:hAnsi="Arial" w:cs="Arial"/>
                <w:b/>
                <w:bCs/>
                <w:color w:val="000000"/>
                <w:sz w:val="16"/>
                <w:szCs w:val="16"/>
                <w:lang w:eastAsia="es-MX"/>
              </w:rPr>
              <w:t>12. Calificaciones otorgadas</w:t>
            </w:r>
          </w:p>
          <w:p w:rsidR="00565B6B" w:rsidRDefault="00565B6B" w:rsidP="00565B6B">
            <w:pPr>
              <w:autoSpaceDE w:val="0"/>
              <w:autoSpaceDN w:val="0"/>
              <w:adjustRightInd w:val="0"/>
              <w:spacing w:after="0" w:line="240" w:lineRule="auto"/>
              <w:jc w:val="both"/>
              <w:rPr>
                <w:rFonts w:ascii="Arial" w:hAnsi="Arial" w:cs="Arial"/>
                <w:b/>
                <w:bCs/>
                <w:color w:val="000000"/>
                <w:sz w:val="16"/>
                <w:szCs w:val="16"/>
                <w:lang w:eastAsia="es-MX"/>
              </w:rPr>
            </w:pPr>
          </w:p>
          <w:p w:rsidR="00565B6B" w:rsidRDefault="00565B6B" w:rsidP="00565B6B">
            <w:pPr>
              <w:autoSpaceDE w:val="0"/>
              <w:autoSpaceDN w:val="0"/>
              <w:adjustRightInd w:val="0"/>
              <w:spacing w:after="0" w:line="240" w:lineRule="auto"/>
              <w:jc w:val="both"/>
              <w:rPr>
                <w:rFonts w:ascii="Arial" w:hAnsi="Arial" w:cs="Arial"/>
                <w:color w:val="000000"/>
                <w:sz w:val="16"/>
                <w:szCs w:val="16"/>
                <w:lang w:eastAsia="es-MX"/>
              </w:rPr>
            </w:pPr>
            <w:r>
              <w:rPr>
                <w:rFonts w:ascii="Arial" w:hAnsi="Arial" w:cs="Arial"/>
                <w:color w:val="000000"/>
                <w:sz w:val="16"/>
                <w:szCs w:val="16"/>
                <w:lang w:eastAsia="es-MX"/>
              </w:rPr>
              <w:t>Informar, tanto del ente público como cualquier transacción realizada, que haya sido sujeta a una calificación crediticia.</w:t>
            </w:r>
          </w:p>
          <w:p w:rsidR="00565B6B" w:rsidRDefault="00565B6B" w:rsidP="00565B6B">
            <w:pPr>
              <w:autoSpaceDE w:val="0"/>
              <w:autoSpaceDN w:val="0"/>
              <w:adjustRightInd w:val="0"/>
              <w:spacing w:after="0" w:line="240" w:lineRule="auto"/>
              <w:jc w:val="both"/>
              <w:rPr>
                <w:rFonts w:ascii="Arial" w:hAnsi="Arial" w:cs="Arial"/>
                <w:color w:val="000000"/>
                <w:sz w:val="16"/>
                <w:szCs w:val="16"/>
                <w:lang w:eastAsia="es-MX"/>
              </w:rPr>
            </w:pPr>
          </w:p>
          <w:p w:rsidR="00565B6B" w:rsidRDefault="00565B6B" w:rsidP="00565B6B">
            <w:pPr>
              <w:autoSpaceDE w:val="0"/>
              <w:autoSpaceDN w:val="0"/>
              <w:adjustRightInd w:val="0"/>
              <w:spacing w:after="0" w:line="240" w:lineRule="auto"/>
              <w:jc w:val="both"/>
              <w:rPr>
                <w:rFonts w:ascii="Arial" w:hAnsi="Arial" w:cs="Arial"/>
                <w:color w:val="000000"/>
                <w:lang w:eastAsia="es-MX"/>
              </w:rPr>
            </w:pPr>
            <w:r>
              <w:rPr>
                <w:rFonts w:ascii="Arial" w:hAnsi="Arial" w:cs="Arial"/>
                <w:b/>
                <w:bCs/>
                <w:color w:val="000000"/>
                <w:lang w:eastAsia="es-MX"/>
              </w:rPr>
              <w:t xml:space="preserve">13. Proceso de Mejora </w:t>
            </w:r>
          </w:p>
          <w:p w:rsidR="00565B6B" w:rsidRDefault="00565B6B" w:rsidP="00565B6B">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 xml:space="preserve">Se informará de: </w:t>
            </w:r>
          </w:p>
          <w:p w:rsidR="00565B6B" w:rsidRDefault="00565B6B" w:rsidP="00565B6B">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Principales Políticas de control interno. </w:t>
            </w:r>
          </w:p>
          <w:p w:rsidR="00565B6B" w:rsidRDefault="00565B6B" w:rsidP="00565B6B">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b)</w:t>
            </w:r>
            <w:r>
              <w:rPr>
                <w:rFonts w:ascii="Arial" w:hAnsi="Arial" w:cs="Arial"/>
                <w:color w:val="000000"/>
                <w:lang w:eastAsia="es-MX"/>
              </w:rPr>
              <w:tab/>
              <w:t>Medidas de desempeño financiero, metas y alcance.</w:t>
            </w:r>
          </w:p>
          <w:p w:rsidR="00565B6B" w:rsidRDefault="00565B6B" w:rsidP="00565B6B">
            <w:pPr>
              <w:autoSpaceDE w:val="0"/>
              <w:autoSpaceDN w:val="0"/>
              <w:adjustRightInd w:val="0"/>
              <w:spacing w:after="0" w:line="240" w:lineRule="auto"/>
              <w:jc w:val="both"/>
              <w:rPr>
                <w:rFonts w:ascii="Arial" w:hAnsi="Arial" w:cs="Arial"/>
                <w:color w:val="000000"/>
                <w:lang w:eastAsia="es-MX"/>
              </w:rPr>
            </w:pPr>
          </w:p>
          <w:p w:rsidR="00565B6B" w:rsidRDefault="00565B6B" w:rsidP="00565B6B">
            <w:pPr>
              <w:autoSpaceDE w:val="0"/>
              <w:autoSpaceDN w:val="0"/>
              <w:adjustRightInd w:val="0"/>
              <w:spacing w:after="0" w:line="240" w:lineRule="auto"/>
              <w:jc w:val="both"/>
              <w:rPr>
                <w:rFonts w:ascii="Arial" w:hAnsi="Arial" w:cs="Arial"/>
                <w:color w:val="000000"/>
                <w:lang w:eastAsia="es-MX"/>
              </w:rPr>
            </w:pPr>
            <w:r>
              <w:rPr>
                <w:rFonts w:ascii="Arial" w:hAnsi="Arial" w:cs="Arial"/>
                <w:b/>
                <w:bCs/>
                <w:color w:val="000000"/>
                <w:lang w:eastAsia="es-MX"/>
              </w:rPr>
              <w:t xml:space="preserve">14. Información por Segmentos </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 </w:t>
            </w:r>
          </w:p>
          <w:p w:rsidR="00565B6B" w:rsidRDefault="00565B6B" w:rsidP="00565B6B">
            <w:pPr>
              <w:autoSpaceDE w:val="0"/>
              <w:autoSpaceDN w:val="0"/>
              <w:adjustRightInd w:val="0"/>
              <w:spacing w:after="160" w:line="252" w:lineRule="auto"/>
              <w:jc w:val="both"/>
              <w:rPr>
                <w:rFonts w:ascii="Arial" w:hAnsi="Arial" w:cs="Arial"/>
                <w:lang w:eastAsia="es-MX"/>
              </w:rPr>
            </w:pP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Consecuentemente, esta información contribuye al análisis más preciso de la situación financiera, grados y fuentes de riesgo y crecimiento potencial de negocio.</w:t>
            </w:r>
          </w:p>
          <w:p w:rsidR="00565B6B" w:rsidRDefault="00565B6B" w:rsidP="00565B6B">
            <w:pPr>
              <w:autoSpaceDE w:val="0"/>
              <w:autoSpaceDN w:val="0"/>
              <w:adjustRightInd w:val="0"/>
              <w:spacing w:after="160" w:line="252" w:lineRule="auto"/>
              <w:jc w:val="both"/>
              <w:rPr>
                <w:rFonts w:ascii="Arial" w:hAnsi="Arial" w:cs="Arial"/>
                <w:lang w:eastAsia="es-MX"/>
              </w:rPr>
            </w:pPr>
          </w:p>
          <w:p w:rsidR="00565B6B" w:rsidRDefault="00565B6B" w:rsidP="00565B6B">
            <w:pPr>
              <w:autoSpaceDE w:val="0"/>
              <w:autoSpaceDN w:val="0"/>
              <w:adjustRightInd w:val="0"/>
              <w:spacing w:after="160" w:line="252" w:lineRule="auto"/>
              <w:jc w:val="both"/>
              <w:rPr>
                <w:rFonts w:ascii="Arial" w:hAnsi="Arial" w:cs="Arial"/>
                <w:lang w:eastAsia="es-MX"/>
              </w:rPr>
            </w:pPr>
          </w:p>
          <w:p w:rsidR="00565B6B" w:rsidRDefault="00565B6B" w:rsidP="00565B6B">
            <w:pPr>
              <w:autoSpaceDE w:val="0"/>
              <w:autoSpaceDN w:val="0"/>
              <w:adjustRightInd w:val="0"/>
              <w:spacing w:after="160" w:line="252" w:lineRule="auto"/>
              <w:jc w:val="both"/>
              <w:rPr>
                <w:rFonts w:ascii="Arial" w:hAnsi="Arial" w:cs="Arial"/>
                <w:lang w:eastAsia="es-MX"/>
              </w:rPr>
            </w:pP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15. Eventos Posteriores al Cierre </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El ente público informará el efecto en sus estados financieros de aquellos hechos ocurridos en el período posterior al que informa, que proporcionan mayor evidencia sobre eventos que le afectan económicamente y que no se conocían a la fecha de cierre. </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16. Partes Relacionadas </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Se debe establecer por escrito que no existen partes relacionadas que pudieran ejercer influencia significativa sobre la toma de decisiones financieras y operativas. </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17. Responsabilidad Sobre la Presentación Razonable de la Información Contable </w:t>
            </w:r>
          </w:p>
          <w:p w:rsidR="00565B6B" w:rsidRDefault="00565B6B" w:rsidP="00565B6B">
            <w:pPr>
              <w:autoSpaceDE w:val="0"/>
              <w:autoSpaceDN w:val="0"/>
              <w:adjustRightInd w:val="0"/>
              <w:spacing w:after="160" w:line="252" w:lineRule="auto"/>
              <w:jc w:val="both"/>
              <w:rPr>
                <w:rFonts w:ascii="Arial" w:hAnsi="Arial" w:cs="Arial"/>
                <w:lang w:eastAsia="es-MX"/>
              </w:rPr>
            </w:pPr>
            <w:r>
              <w:rPr>
                <w:rFonts w:ascii="Arial" w:hAnsi="Arial" w:cs="Arial"/>
                <w:lang w:eastAsia="es-MX"/>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p>
          <w:p w:rsidR="00565B6B" w:rsidRDefault="00565B6B" w:rsidP="00565B6B">
            <w:pPr>
              <w:autoSpaceDE w:val="0"/>
              <w:autoSpaceDN w:val="0"/>
              <w:adjustRightInd w:val="0"/>
              <w:spacing w:after="0" w:line="240" w:lineRule="auto"/>
              <w:rPr>
                <w:rFonts w:ascii="Arial" w:hAnsi="Arial" w:cs="Arial"/>
                <w:sz w:val="23"/>
                <w:szCs w:val="23"/>
                <w:lang w:eastAsia="es-MX"/>
              </w:rPr>
            </w:pPr>
          </w:p>
          <w:p w:rsidR="00A45E83" w:rsidRPr="007326BD" w:rsidRDefault="00A45E83" w:rsidP="00A45E83">
            <w:pPr>
              <w:spacing w:after="0" w:line="240" w:lineRule="auto"/>
              <w:jc w:val="both"/>
              <w:rPr>
                <w:rFonts w:ascii="Arial" w:hAnsi="Arial" w:cs="Arial"/>
                <w:sz w:val="24"/>
                <w:szCs w:val="24"/>
              </w:rPr>
            </w:pPr>
          </w:p>
        </w:tc>
      </w:tr>
    </w:tbl>
    <w:p w:rsidR="00A45E83" w:rsidRDefault="00A45E83">
      <w:pPr>
        <w:rPr>
          <w:rFonts w:ascii="Arial" w:hAnsi="Arial" w:cs="Arial"/>
        </w:rPr>
      </w:pPr>
    </w:p>
    <w:p w:rsidR="008E706B" w:rsidRDefault="008E706B">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4"/>
        <w:gridCol w:w="1249"/>
        <w:gridCol w:w="3845"/>
      </w:tblGrid>
      <w:tr w:rsidR="0009560A" w:rsidRPr="001F0913" w:rsidTr="00983255">
        <w:trPr>
          <w:jc w:val="center"/>
        </w:trPr>
        <w:tc>
          <w:tcPr>
            <w:tcW w:w="3794" w:type="dxa"/>
            <w:shd w:val="clear" w:color="auto" w:fill="auto"/>
            <w:vAlign w:val="center"/>
          </w:tcPr>
          <w:p w:rsidR="0009560A" w:rsidRPr="001F0913" w:rsidRDefault="00A45336" w:rsidP="0009560A">
            <w:pPr>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7216" behindDoc="0" locked="0" layoutInCell="1" allowOverlap="1">
                      <wp:simplePos x="0" y="0"/>
                      <wp:positionH relativeFrom="column">
                        <wp:posOffset>-22860</wp:posOffset>
                      </wp:positionH>
                      <wp:positionV relativeFrom="paragraph">
                        <wp:posOffset>259715</wp:posOffset>
                      </wp:positionV>
                      <wp:extent cx="2295525" cy="0"/>
                      <wp:effectExtent l="5080" t="5080" r="13970" b="1397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6AE36C2" id="_x0000_t32" coordsize="21600,21600" o:spt="32" o:oned="t" path="m,l21600,21600e" filled="f">
                      <v:path arrowok="t" fillok="f" o:connecttype="none"/>
                      <o:lock v:ext="edit" shapetype="t"/>
                    </v:shapetype>
                    <v:shape id="AutoShape 4"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E0fL1obAgAAOwQAAA4AAAAAAAAAAAAAAAAALgIAAGRycy9lMm9Eb2MueG1sUEsBAi0A&#10;FAAGAAgAAAAhANSWC17eAAAACAEAAA8AAAAAAAAAAAAAAAAAdQQAAGRycy9kb3ducmV2LnhtbFBL&#10;BQYAAAAABAAEAPMAAACABQAAAAA=&#10;"/>
                  </w:pict>
                </mc:Fallback>
              </mc:AlternateContent>
            </w:r>
          </w:p>
        </w:tc>
        <w:tc>
          <w:tcPr>
            <w:tcW w:w="1276" w:type="dxa"/>
            <w:shd w:val="clear" w:color="auto" w:fill="auto"/>
            <w:vAlign w:val="center"/>
          </w:tcPr>
          <w:p w:rsidR="0009560A" w:rsidRPr="001F0913" w:rsidRDefault="0009560A" w:rsidP="0009560A">
            <w:pPr>
              <w:rPr>
                <w:rFonts w:ascii="Arial" w:hAnsi="Arial" w:cs="Arial"/>
                <w:sz w:val="20"/>
              </w:rPr>
            </w:pPr>
          </w:p>
        </w:tc>
        <w:tc>
          <w:tcPr>
            <w:tcW w:w="3908" w:type="dxa"/>
            <w:shd w:val="clear" w:color="auto" w:fill="auto"/>
            <w:vAlign w:val="center"/>
          </w:tcPr>
          <w:p w:rsidR="0009560A" w:rsidRPr="001F0913" w:rsidRDefault="00A45336" w:rsidP="0009560A">
            <w:pPr>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259715</wp:posOffset>
                      </wp:positionV>
                      <wp:extent cx="2295525" cy="0"/>
                      <wp:effectExtent l="5080" t="5080" r="13970" b="1397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B2527D" id="AutoShape 5"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AnwvHRwCAAA7BAAADgAAAAAAAAAAAAAAAAAuAgAAZHJzL2Uyb0RvYy54bWxQSwECLQAU&#10;AAYACAAAACEArxXqGdwAAAAHAQAADwAAAAAAAAAAAAAAAAB2BAAAZHJzL2Rvd25yZXYueG1sUEsF&#10;BgAAAAAEAAQA8wAAAH8FAAAAAA==&#10;"/>
                  </w:pict>
                </mc:Fallback>
              </mc:AlternateContent>
            </w:r>
          </w:p>
        </w:tc>
      </w:tr>
      <w:tr w:rsidR="0009560A" w:rsidRPr="001F0913" w:rsidTr="00983255">
        <w:trPr>
          <w:jc w:val="center"/>
        </w:trPr>
        <w:tc>
          <w:tcPr>
            <w:tcW w:w="3794" w:type="dxa"/>
            <w:shd w:val="clear" w:color="auto" w:fill="auto"/>
            <w:vAlign w:val="center"/>
          </w:tcPr>
          <w:p w:rsidR="0009560A" w:rsidRPr="00AA3238" w:rsidRDefault="00565B6B" w:rsidP="00983255">
            <w:pPr>
              <w:jc w:val="center"/>
              <w:rPr>
                <w:rFonts w:ascii="Arial" w:hAnsi="Arial" w:cs="Arial"/>
                <w:b/>
                <w:sz w:val="20"/>
              </w:rPr>
            </w:pPr>
            <w:bookmarkStart w:id="3" w:name="firma1"/>
            <w:bookmarkEnd w:id="3"/>
            <w:r>
              <w:rPr>
                <w:rFonts w:ascii="Arial" w:hAnsi="Arial" w:cs="Arial"/>
                <w:b/>
                <w:sz w:val="20"/>
              </w:rPr>
              <w:t>ING. RAÚL EVERARDO GUTIÉRREZ CASTAÑEDA</w:t>
            </w:r>
          </w:p>
          <w:p w:rsidR="0009560A" w:rsidRPr="00AA3238" w:rsidRDefault="00565B6B" w:rsidP="00983255">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vAlign w:val="center"/>
          </w:tcPr>
          <w:p w:rsidR="0009560A" w:rsidRPr="001F0913" w:rsidRDefault="0009560A" w:rsidP="0009560A">
            <w:pPr>
              <w:rPr>
                <w:rFonts w:ascii="Arial" w:hAnsi="Arial" w:cs="Arial"/>
                <w:sz w:val="20"/>
              </w:rPr>
            </w:pPr>
          </w:p>
        </w:tc>
        <w:tc>
          <w:tcPr>
            <w:tcW w:w="3908" w:type="dxa"/>
            <w:shd w:val="clear" w:color="auto" w:fill="auto"/>
            <w:vAlign w:val="center"/>
          </w:tcPr>
          <w:p w:rsidR="0009560A" w:rsidRPr="00AA3238" w:rsidRDefault="00565B6B" w:rsidP="00983255">
            <w:pPr>
              <w:jc w:val="center"/>
              <w:rPr>
                <w:rFonts w:ascii="Arial" w:hAnsi="Arial" w:cs="Arial"/>
                <w:b/>
                <w:sz w:val="20"/>
              </w:rPr>
            </w:pPr>
            <w:bookmarkStart w:id="5" w:name="firma2"/>
            <w:bookmarkEnd w:id="5"/>
            <w:r>
              <w:rPr>
                <w:rFonts w:ascii="Arial" w:hAnsi="Arial" w:cs="Arial"/>
                <w:b/>
                <w:sz w:val="20"/>
              </w:rPr>
              <w:t>MTRO. ARNOLDO SOLÓRZANO CUEVAS</w:t>
            </w:r>
          </w:p>
          <w:p w:rsidR="0009560A" w:rsidRPr="00AA3238" w:rsidRDefault="00565B6B" w:rsidP="00983255">
            <w:pPr>
              <w:jc w:val="center"/>
              <w:rPr>
                <w:rFonts w:ascii="Arial" w:hAnsi="Arial" w:cs="Arial"/>
                <w:b/>
                <w:sz w:val="20"/>
              </w:rPr>
            </w:pPr>
            <w:bookmarkStart w:id="6" w:name="Cargo2"/>
            <w:bookmarkEnd w:id="6"/>
            <w:r>
              <w:rPr>
                <w:rFonts w:ascii="Arial" w:hAnsi="Arial" w:cs="Arial"/>
                <w:b/>
                <w:sz w:val="20"/>
              </w:rPr>
              <w:t>TESORERO MUNICIPAL</w:t>
            </w:r>
          </w:p>
        </w:tc>
      </w:tr>
    </w:tbl>
    <w:p w:rsidR="0009560A" w:rsidRPr="00721735" w:rsidRDefault="00565B6B" w:rsidP="00DC7A0D">
      <w:pPr>
        <w:jc w:val="center"/>
        <w:rPr>
          <w:rFonts w:ascii="C39HrP24DhTt" w:hAnsi="C39HrP24DhTt" w:cs="Arial"/>
          <w:sz w:val="44"/>
          <w:szCs w:val="44"/>
        </w:rPr>
      </w:pPr>
      <w:bookmarkStart w:id="7" w:name="codigo"/>
      <w:bookmarkEnd w:id="7"/>
      <w:r>
        <w:rPr>
          <w:rFonts w:ascii="C39HrP24DhTt" w:hAnsi="C39HrP24DhTt" w:cs="Arial"/>
          <w:sz w:val="44"/>
          <w:szCs w:val="44"/>
        </w:rPr>
        <w:t>ASEJ2022-13-19-08-2023-1</w:t>
      </w:r>
    </w:p>
    <w:p w:rsidR="008E706B" w:rsidRDefault="008E706B">
      <w:pPr>
        <w:rPr>
          <w:rFonts w:ascii="Arial" w:hAnsi="Arial" w:cs="Arial"/>
        </w:rPr>
      </w:pPr>
    </w:p>
    <w:p w:rsidR="008E706B" w:rsidRPr="00B157EC" w:rsidRDefault="008E706B" w:rsidP="008E706B">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rsidR="008E706B" w:rsidRPr="007326BD" w:rsidRDefault="008E706B">
      <w:pPr>
        <w:rPr>
          <w:rFonts w:ascii="Arial" w:hAnsi="Arial" w:cs="Arial"/>
        </w:rPr>
      </w:pPr>
    </w:p>
    <w:sectPr w:rsidR="008E706B"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39HrP24DhT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9560A"/>
    <w:rsid w:val="00245F49"/>
    <w:rsid w:val="0040191D"/>
    <w:rsid w:val="004D1A2A"/>
    <w:rsid w:val="00565B6B"/>
    <w:rsid w:val="006628DA"/>
    <w:rsid w:val="007326BD"/>
    <w:rsid w:val="00806603"/>
    <w:rsid w:val="008A5017"/>
    <w:rsid w:val="008E706B"/>
    <w:rsid w:val="00983255"/>
    <w:rsid w:val="009F5BF2"/>
    <w:rsid w:val="00A45336"/>
    <w:rsid w:val="00A45E83"/>
    <w:rsid w:val="00AA3238"/>
    <w:rsid w:val="00DC7A0D"/>
    <w:rsid w:val="00EF11D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434C81-568D-4649-840E-C369D5849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3831</Words>
  <Characters>21075</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ASEJ</Company>
  <LinksUpToDate>false</LinksUpToDate>
  <CharactersWithSpaces>24857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 SC</cp:lastModifiedBy>
  <cp:revision>6</cp:revision>
  <dcterms:created xsi:type="dcterms:W3CDTF">2020-05-27T16:04:00Z</dcterms:created>
  <dcterms:modified xsi:type="dcterms:W3CDTF">2023-08-20T00:42:00Z</dcterms:modified>
</cp:coreProperties>
</file>