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D27CAF" w:rsidRDefault="00BD2DA9" w:rsidP="00D64D9B">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rsidR="00A45E83" w:rsidRPr="005D285A" w:rsidRDefault="00CC558D" w:rsidP="005D285A">
            <w:pPr>
              <w:spacing w:after="0" w:line="240" w:lineRule="auto"/>
              <w:jc w:val="center"/>
              <w:rPr>
                <w:rFonts w:ascii="Arial" w:hAnsi="Arial" w:cs="Arial"/>
                <w:b/>
                <w:sz w:val="24"/>
                <w:szCs w:val="28"/>
              </w:rPr>
            </w:pPr>
            <w:r w:rsidRPr="00CC558D">
              <w:rPr>
                <w:rFonts w:ascii="Arial" w:hAnsi="Arial" w:cs="Arial"/>
                <w:b/>
                <w:sz w:val="24"/>
                <w:szCs w:val="28"/>
              </w:rPr>
              <w:t>IN</w:t>
            </w:r>
            <w:r>
              <w:rPr>
                <w:rFonts w:ascii="Arial" w:hAnsi="Arial" w:cs="Arial"/>
                <w:b/>
                <w:sz w:val="24"/>
                <w:szCs w:val="28"/>
              </w:rPr>
              <w:t xml:space="preserve">FORME ANUAL DE DESEMPEÑO EN LA </w:t>
            </w:r>
            <w:r w:rsidRPr="00CC558D">
              <w:rPr>
                <w:rFonts w:ascii="Arial" w:hAnsi="Arial" w:cs="Arial"/>
                <w:b/>
                <w:sz w:val="24"/>
                <w:szCs w:val="28"/>
              </w:rPr>
              <w:t>GESTIÓN</w:t>
            </w:r>
          </w:p>
          <w:p w:rsidR="00A45E83" w:rsidRPr="007D77B1" w:rsidRDefault="00BD2DA9"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31 DE DICIEMBRE DE 2022</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BD2DA9" w:rsidRDefault="00BD2DA9" w:rsidP="00BD2DA9">
            <w:bookmarkStart w:id="2" w:name="cuerpo"/>
            <w:bookmarkEnd w:id="2"/>
          </w:p>
          <w:p w:rsidR="00BD2DA9" w:rsidRDefault="00BD2DA9" w:rsidP="00BD2DA9">
            <w:pPr>
              <w:tabs>
                <w:tab w:val="left" w:pos="3675"/>
              </w:tabs>
              <w:rPr>
                <w:rFonts w:ascii="Times New Roman" w:hAnsi="Times New Roman"/>
                <w:noProof/>
              </w:rPr>
            </w:pPr>
          </w:p>
          <w:p w:rsidR="00BD2DA9" w:rsidRDefault="00BD2DA9" w:rsidP="00BD2DA9">
            <w:pPr>
              <w:rPr>
                <w:rFonts w:ascii="Times New Roman" w:hAnsi="Times New Roman"/>
                <w:noProof/>
              </w:rPr>
            </w:pPr>
            <w:r>
              <w:rPr>
                <w:rFonts w:ascii="Arial" w:hAnsi="Arial" w:cs="Arial"/>
                <w:noProof/>
                <w:sz w:val="23"/>
                <w:szCs w:val="23"/>
              </w:rPr>
              <w:drawing>
                <wp:inline distT="0" distB="0" distL="0" distR="0">
                  <wp:extent cx="2447925" cy="885825"/>
                  <wp:effectExtent l="0" t="0" r="9525" b="9525"/>
                  <wp:docPr id="605336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47925" cy="885825"/>
                          </a:xfrm>
                          <a:prstGeom prst="rect">
                            <a:avLst/>
                          </a:prstGeom>
                          <a:noFill/>
                          <a:ln>
                            <a:noFill/>
                          </a:ln>
                        </pic:spPr>
                      </pic:pic>
                    </a:graphicData>
                  </a:graphic>
                </wp:inline>
              </w:drawing>
            </w:r>
          </w:p>
          <w:p w:rsidR="00BD2DA9" w:rsidRDefault="00BD2DA9" w:rsidP="00BD2DA9">
            <w:pPr>
              <w:rPr>
                <w:rFonts w:ascii="Times New Roman" w:hAnsi="Times New Roman"/>
              </w:rPr>
            </w:pPr>
            <w:r>
              <w:rPr>
                <w:rFonts w:ascii="Times New Roman" w:hAnsi="Times New Roman"/>
              </w:rPr>
              <w:br w:type="page"/>
            </w:r>
            <w:r>
              <w:rPr>
                <w:rFonts w:ascii="Times New Roman" w:hAnsi="Times New Roman"/>
              </w:rPr>
              <w:tab/>
            </w:r>
          </w:p>
          <w:p w:rsidR="00BD2DA9" w:rsidRDefault="00BD2DA9" w:rsidP="00BD2DA9">
            <w:pPr>
              <w:spacing w:after="120"/>
              <w:rPr>
                <w:rFonts w:ascii="Arial" w:hAnsi="Arial" w:cs="Arial"/>
                <w:sz w:val="28"/>
                <w:szCs w:val="28"/>
              </w:rPr>
            </w:pPr>
          </w:p>
          <w:p w:rsidR="00BD2DA9" w:rsidRDefault="00BD2DA9" w:rsidP="00BD2DA9">
            <w:pPr>
              <w:pStyle w:val="Ttulo1"/>
              <w:keepNext/>
              <w:keepLines/>
              <w:spacing w:before="240" w:line="276" w:lineRule="auto"/>
              <w:rPr>
                <w:rFonts w:ascii="Calibri Light" w:hAnsi="Calibri Light" w:cs="Calibri Light"/>
                <w:color w:val="2E74B5"/>
                <w:sz w:val="32"/>
                <w:szCs w:val="32"/>
              </w:rPr>
            </w:pPr>
            <w:r>
              <w:rPr>
                <w:rFonts w:ascii="Calibri Light" w:hAnsi="Calibri Light" w:cs="Calibri Light"/>
                <w:color w:val="2E74B5"/>
                <w:sz w:val="32"/>
                <w:szCs w:val="32"/>
              </w:rPr>
              <w:t>INTRODUCCIÓN</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De acuerdo a los lineamientos establecidos en la ley de fiscalización superior y rendición de cuentas del estado de Jalisco y sus municipios, en su artículo 37 numeral 1 fracción IV se da cumplimiento a la evaluación de programas del segundo avance de informes de gestión financiera.</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RESULTADOS DE LA GESTIÓN</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Redacte en este apartado una narrativa que describa el cumplimiento de las metas y objetivos que reportó en el formato de Indicadores de Desempeño (SID, o formato 13). En dicho formato se reporta el cumplimiento de metas de los Programas que tienen una MIR y los que no la tienen; por ello se sugiere que este apartado cuente al menos con dos secciones, una cada grupo de programas. Además, es recomendable reportar el avance en el cumplimiento de los objetivos de desarrollo, en caso de que su instrumento de planeación municipal cuente con indicadores.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Programas con Matrices de Indicadores para Resultados</w:t>
            </w:r>
            <w:r>
              <w:rPr>
                <w:color w:val="808080"/>
              </w:rPr>
              <w:t xml:space="preserve"> </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fornian FB" w:hAnsi="Californian FB" w:cs="Californian FB"/>
                <w:color w:val="000000"/>
                <w:sz w:val="18"/>
                <w:szCs w:val="18"/>
              </w:rPr>
              <w:t>Administrar la Hacienda Pública Municipal avance: 98/100</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(sin MIR)</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 97/100</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Resultados a partir de indicadores de desarrollo del PMD</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Describa los resultados que se hayan alcanzado en los Indicadores de Desarrollo que se contemplen en su Plan Municipal de Desarrollo. En caso de que el PMD no cuente con Indicadores, puede describir la relación que tienen los objetivos de sus programas con los objetivos de desarrollo contemplados en el PMD</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PROCESOS CONCLUIDOS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El artículo 37, numeral 1, establece que los Avances de Gestión Financiera deben contener (fracción III) </w:t>
            </w:r>
            <w:r>
              <w:rPr>
                <w:color w:val="808080"/>
                <w:lang w:val="es-ES"/>
              </w:rPr>
              <w:t xml:space="preserve">los </w:t>
            </w:r>
            <w:r>
              <w:rPr>
                <w:b/>
                <w:bCs/>
                <w:color w:val="808080"/>
                <w:lang w:val="es-ES"/>
              </w:rPr>
              <w:t xml:space="preserve">procesos concluidos </w:t>
            </w:r>
            <w:r>
              <w:rPr>
                <w:color w:val="808080"/>
                <w:lang w:val="es-ES"/>
              </w:rPr>
              <w:t>(Ley de Fiscalización Superior y Rendición de Cuentas para el Estado de Jalisco y sus Municipios)</w:t>
            </w:r>
            <w:r>
              <w:rPr>
                <w:rFonts w:ascii="Times New Roman" w:hAnsi="Times New Roman"/>
                <w:color w:val="808080"/>
              </w:rPr>
              <w:t>.</w:t>
            </w:r>
            <w:r>
              <w:rPr>
                <w:color w:val="808080"/>
              </w:rPr>
              <w:t xml:space="preserve"> Se entiende por “Proceso concluido” aquel caso en el que se cumplieron las metas al 100%, o bien se ejerció el 100% del presupuesto para ese programa. Por ello, en este apartado se tendrá que redactar una narrativa que explique aquellos casos en los que se ha presentado esa situación. La base para esta narrativa es el contenido que se incorporó en el formato de Indicadores de Desempeño (SID, o formato 13).</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metas concluidas o presupuesto ejercido</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Hacienda Pública Municipal:</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179´625,555.00</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174´172,454.87</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metas concluidas o presupuesto ejercido</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179´625,555.00</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174´172,454.87</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AVANCES INFERIORES A LAS METAS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Con la finalidad de comunicar aquellas situaciones que expliquen los rezagos en el cumplimiento de las metas, se sugiere describir en este apartado las razones por las que las metas no se hubieren alcanzado en un periodo específico. Para ello, se podrían considerar justificaciones como las que se incluyen en el catálogo anexo a esta plantilla.</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avances por debajo de las metas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sz w:val="20"/>
                <w:szCs w:val="20"/>
              </w:rPr>
              <w:t>Por otras causas que por su naturaleza no es posible agrupar, es decir, cuando se presente una combinación de los factores señalados en los tipos de causas mencionados anteriormente, o causas no previstas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avances por debajo de las metas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Describa las justificaciones que expliquen los avances que se reporten por debajo de las metas en aquellos Programas de Gestión (es decir, aquellos que no cuentan con MIR) </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REFORMULACIÓN DE PROGRAMAS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Describa en este apartado las modificaciones o adecuaciones que se hubieren decidido realizar a los programas (con MIR o sin MIR), en función de los resultados de la gestión, los avances inferiores a las metas y los procesos concluidos en su caso. En caso de que cuenten con resultados de evaluaciones externas, cuyos hallazgos resulten relevantes para la reformulación de los programas, también podrán incluirse en esta sección. </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Resultados de evaluaciones externas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En caso de contar con resultados de evaluaciones externas, descríbalos en esta sección.</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Reformulación de programas con MIR</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sz w:val="20"/>
                <w:szCs w:val="20"/>
              </w:rPr>
              <w:t>Por otras causas que por su naturaleza no es posible agrupar, es decir, cuando se presente una combinación de los factores señalados en los tipos de causas mencionados anteriormente, o causas no previstas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Reformulación de Programas de gestión</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Describa las modificaciones que se hubieren decidido realizar a Programas de Gestión (es decir, aquellos que no cuentan con MIR) </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ANEXOS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Incluya en este apartado cualquier anexo gráfico o documental que se considere necesario para complementar el informe</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rPr>
                <w:rFonts w:ascii="Arial" w:hAnsi="Arial" w:cs="Arial"/>
                <w:sz w:val="28"/>
                <w:szCs w:val="28"/>
              </w:rPr>
            </w:pPr>
          </w:p>
          <w:p w:rsidR="00BD2DA9" w:rsidRDefault="00BD2DA9" w:rsidP="00BD2DA9">
            <w:pPr>
              <w:rPr>
                <w:rFonts w:ascii="Arial" w:hAnsi="Arial" w:cs="Arial"/>
                <w:sz w:val="28"/>
                <w:szCs w:val="28"/>
              </w:rPr>
            </w:pPr>
          </w:p>
          <w:p w:rsidR="00BD2DA9" w:rsidRDefault="00BD2DA9" w:rsidP="00BD2DA9">
            <w:pPr>
              <w:rPr>
                <w:rFonts w:ascii="Arial" w:hAnsi="Arial" w:cs="Arial"/>
                <w:sz w:val="28"/>
                <w:szCs w:val="28"/>
              </w:rPr>
            </w:pPr>
          </w:p>
          <w:p w:rsidR="00BD2DA9" w:rsidRDefault="00BD2DA9" w:rsidP="00BD2DA9">
            <w:pPr>
              <w:rPr>
                <w:rFonts w:ascii="Arial" w:hAnsi="Arial" w:cs="Arial"/>
                <w:sz w:val="28"/>
                <w:szCs w:val="28"/>
              </w:rPr>
            </w:pPr>
          </w:p>
          <w:p w:rsidR="00BD2DA9" w:rsidRDefault="00BD2DA9" w:rsidP="00BD2DA9">
            <w:pPr>
              <w:rPr>
                <w:rFonts w:ascii="Arial" w:hAnsi="Arial" w:cs="Arial"/>
                <w:sz w:val="28"/>
                <w:szCs w:val="28"/>
              </w:rPr>
            </w:pPr>
          </w:p>
          <w:p w:rsidR="00BD2DA9" w:rsidRDefault="00BD2DA9" w:rsidP="00BD2DA9">
            <w:pPr>
              <w:rPr>
                <w:rFonts w:ascii="Arial" w:hAnsi="Arial" w:cs="Arial"/>
                <w:sz w:val="28"/>
                <w:szCs w:val="28"/>
              </w:rPr>
            </w:pPr>
          </w:p>
          <w:p w:rsidR="00BD2DA9" w:rsidRDefault="00BD2DA9" w:rsidP="00BD2DA9">
            <w:pPr>
              <w:tabs>
                <w:tab w:val="left" w:pos="3857"/>
              </w:tabs>
              <w:rPr>
                <w:rFonts w:ascii="Arial" w:hAnsi="Arial" w:cs="Arial"/>
                <w:sz w:val="28"/>
                <w:szCs w:val="28"/>
              </w:rPr>
            </w:pPr>
            <w:r>
              <w:rPr>
                <w:rFonts w:ascii="Arial" w:hAnsi="Arial" w:cs="Arial"/>
                <w:sz w:val="28"/>
                <w:szCs w:val="28"/>
              </w:rPr>
              <w:tab/>
            </w:r>
          </w:p>
          <w:p w:rsidR="00BD2DA9" w:rsidRDefault="00BD2DA9" w:rsidP="00BD2DA9">
            <w:pPr>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REFERENCIAS DOCUMENTALES</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Incluya en este apartado las referencias a documentos oficiales que se encuentren disponibles públicamente, y que resulten necesarios para sustentar la información que se reporta en este informe</w:t>
            </w: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spacing w:after="120"/>
              <w:rPr>
                <w:rFonts w:ascii="Arial" w:hAnsi="Arial" w:cs="Arial"/>
                <w:sz w:val="28"/>
                <w:szCs w:val="28"/>
              </w:rPr>
            </w:pPr>
          </w:p>
          <w:p w:rsidR="00BD2DA9" w:rsidRDefault="00BD2DA9" w:rsidP="00BD2DA9">
            <w:pPr>
              <w:spacing w:after="120"/>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596"/>
            </w:tblGrid>
            <w:tr w:rsidR="00BD2DA9">
              <w:tblPrEx>
                <w:tblCellMar>
                  <w:top w:w="0" w:type="dxa"/>
                  <w:bottom w:w="0" w:type="dxa"/>
                </w:tblCellMar>
              </w:tblPrEx>
              <w:tc>
                <w:tcPr>
                  <w:tcW w:w="8828" w:type="dxa"/>
                  <w:tcBorders>
                    <w:top w:val="single" w:sz="6" w:space="0" w:color="auto"/>
                    <w:left w:val="single" w:sz="6" w:space="0" w:color="auto"/>
                    <w:bottom w:val="single" w:sz="6" w:space="0" w:color="auto"/>
                    <w:right w:val="single" w:sz="6" w:space="0" w:color="auto"/>
                  </w:tcBorders>
                </w:tcPr>
                <w:p w:rsidR="00BD2DA9" w:rsidRDefault="00BD2DA9" w:rsidP="00BD2DA9">
                  <w:pPr>
                    <w:rPr>
                      <w:rFonts w:ascii="Arial" w:hAnsi="Arial" w:cs="Arial"/>
                      <w:b/>
                      <w:bCs/>
                      <w:sz w:val="20"/>
                      <w:szCs w:val="20"/>
                    </w:rPr>
                  </w:pPr>
                </w:p>
              </w:tc>
            </w:tr>
            <w:tr w:rsidR="00BD2DA9">
              <w:tblPrEx>
                <w:tblCellMar>
                  <w:top w:w="0" w:type="dxa"/>
                  <w:bottom w:w="0" w:type="dxa"/>
                </w:tblCellMar>
              </w:tblPrEx>
              <w:tc>
                <w:tcPr>
                  <w:tcW w:w="8828" w:type="dxa"/>
                  <w:tcBorders>
                    <w:top w:val="single" w:sz="6" w:space="0" w:color="auto"/>
                    <w:left w:val="single" w:sz="6" w:space="0" w:color="auto"/>
                    <w:bottom w:val="single" w:sz="6" w:space="0" w:color="auto"/>
                    <w:right w:val="single" w:sz="6" w:space="0" w:color="auto"/>
                  </w:tcBorders>
                </w:tcPr>
                <w:p w:rsidR="00BD2DA9" w:rsidRDefault="00BD2DA9" w:rsidP="00BD2DA9">
                  <w:pPr>
                    <w:rPr>
                      <w:rFonts w:ascii="Arial" w:hAnsi="Arial" w:cs="Arial"/>
                      <w:sz w:val="20"/>
                      <w:szCs w:val="20"/>
                    </w:rPr>
                  </w:pPr>
                  <w:r>
                    <w:rPr>
                      <w:rFonts w:ascii="Arial" w:hAnsi="Arial" w:cs="Arial"/>
                      <w:sz w:val="20"/>
                      <w:szCs w:val="20"/>
                    </w:rPr>
                    <w:t>Este es un catálogo de posibles justificaciones que expliquen avances por debajo de la meta, tenga en consideración que sus argumentos deberán ofrecer narrativas explicativas más allá de esta lista, por ello, este catálogo es únicamente una lista de ideas.  a. Por programación original deficiente, es decir:  i. Cuando se reduzcan, por cualquier razón, los montos de recursos originalmente presupuestados,  ii. Cuando aumenten de forma imprevista y por cualquier razón, los costos de los insumos, y iii. Cuando la periodicidad de la meta no fue adecuadamente prevista. b. Por emergencias provocadas por accidentes y/o fenómenos naturales adversos, es decir: i. Cuando el suceso fenómenos naturales como lluvias, huracanes, ciclones, sequías, sismos, nevadas, entre otros, no hayan permitido condiciones para la operación, y ii. Cuando a causa de accidentes, producto de actividades humanas, no hayan permitido condiciones para la operación. c. Por menor demanda de bienes y servicios, es decir, porque el número de usuarios o la demanda de éstos disminuyó. d. Por retrasos en los trámites para el ejercicio presupuestario por parte de la Entidad Fiscalizable, es decir, cuando ésta fue inoportuna o insuficiente en la realización de los procesos administrativos necesarios para la ejecución del presupuesto; e. Por incumplimiento o retraso en los trámites para el ejercicio presupuestario por parte de instancias gubernamentales diferentes a la Entidad Fiscalizable, es decir, cuando éstas fueron inoportunas o ineficiente en la realización de los procesos administrativos necesarios para la ejecución del presupuesto;  f. Por incumplimiento o inconformidades de proveedores y contratistas, así como por oposición de grupos sociales, es decir, cuando el incumplimiento corresponde a los proveedores y contratistas, o por inconformidades de éstos y/o de grupos sociales para la realización de los proyectos; g. Por modificación de atribuciones institucionales por disposiciones normativas, es decir, cuando a partir de reformas legales, decretos o resoluciones judiciales, ocurre una reestructuración programática que afecta el cumplimiento de las metas; h. Por incumplimiento debido a situaciones normativas extrapresupuestarias ajenas a la Entidad Fiscalizable, es decir, cuando por retrasos en la publicación de disposiciones normativas o procesos judiciales, no haya sido posible operar como estaba programado;  i. Por otras causas que por su naturaleza no es posible agrupar, es decir, cuando se presente una combinación de los factores señalados en los tipos de causas mencionados anteriormente, o causas no previstas;  j. Por otras explicaciones a las variaciones, cuando se trate de resultados por encima del 100 por ciento de cumplimiento, es decir, cuando por cualquier factor el resultado superó el valor programado.</w:t>
                  </w:r>
                </w:p>
              </w:tc>
            </w:tr>
          </w:tbl>
          <w:p w:rsidR="00BD2DA9" w:rsidRDefault="00BD2DA9" w:rsidP="00BD2DA9">
            <w:pPr>
              <w:spacing w:after="120"/>
              <w:rPr>
                <w:rFonts w:ascii="Arial" w:hAnsi="Arial" w:cs="Arial"/>
                <w:sz w:val="28"/>
                <w:szCs w:val="28"/>
              </w:rPr>
            </w:pPr>
          </w:p>
          <w:p w:rsidR="00BD2DA9" w:rsidRDefault="00BD2DA9" w:rsidP="00BD2DA9">
            <w:pPr>
              <w:rPr>
                <w:rFonts w:ascii="Arial" w:hAnsi="Arial" w:cs="Arial"/>
                <w:sz w:val="23"/>
                <w:szCs w:val="23"/>
              </w:rPr>
            </w:pP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28"/>
        <w:gridCol w:w="1261"/>
        <w:gridCol w:w="3839"/>
      </w:tblGrid>
      <w:tr w:rsidR="00900B0E" w:rsidRPr="001F0913" w:rsidTr="00900B0E">
        <w:tc>
          <w:tcPr>
            <w:tcW w:w="3794" w:type="dxa"/>
            <w:shd w:val="clear" w:color="auto" w:fill="auto"/>
          </w:tcPr>
          <w:p w:rsidR="00900B0E" w:rsidRPr="001F0913" w:rsidRDefault="00F568DD" w:rsidP="00B07C90">
            <w:pPr>
              <w:tabs>
                <w:tab w:val="center" w:pos="1789"/>
              </w:tabs>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9525" t="6350" r="9525" b="1270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40F99AB" id="_x0000_t32" coordsize="21600,21600" o:spt="32" o:oned="t" path="m,l21600,21600e" filled="f">
                      <v:path arrowok="t" fillok="f" o:connecttype="none"/>
                      <o:lock v:ext="edit" shapetype="t"/>
                    </v:shapetype>
                    <v:shape id="AutoShape 4"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E0fL1obAgAAOwQAAA4AAAAAAAAAAAAAAAAALgIAAGRycy9lMm9Eb2MueG1sUEsBAi0A&#10;FAAGAAgAAAAhANSWC17eAAAACAEAAA8AAAAAAAAAAAAAAAAAdQQAAGRycy9kb3ducmV2LnhtbFBL&#10;BQYAAAAABAAEAPMAAACABQAAAAA=&#10;"/>
                  </w:pict>
                </mc:Fallback>
              </mc:AlternateContent>
            </w:r>
            <w:r w:rsidR="00B07C90">
              <w:rPr>
                <w:rFonts w:ascii="Arial" w:hAnsi="Arial" w:cs="Arial"/>
                <w:sz w:val="20"/>
              </w:rPr>
              <w:tab/>
            </w:r>
          </w:p>
        </w:tc>
        <w:tc>
          <w:tcPr>
            <w:tcW w:w="1276" w:type="dxa"/>
            <w:shd w:val="clear" w:color="auto" w:fill="auto"/>
          </w:tcPr>
          <w:p w:rsidR="00900B0E" w:rsidRPr="001F0913" w:rsidRDefault="00B07C90" w:rsidP="00B07C90">
            <w:pPr>
              <w:tabs>
                <w:tab w:val="left" w:pos="634"/>
              </w:tabs>
              <w:rPr>
                <w:rFonts w:ascii="Arial" w:hAnsi="Arial" w:cs="Arial"/>
                <w:sz w:val="20"/>
              </w:rPr>
            </w:pPr>
            <w:r>
              <w:rPr>
                <w:rFonts w:ascii="Arial" w:hAnsi="Arial" w:cs="Arial"/>
                <w:sz w:val="20"/>
              </w:rPr>
              <w:tab/>
            </w:r>
          </w:p>
        </w:tc>
        <w:tc>
          <w:tcPr>
            <w:tcW w:w="3908" w:type="dxa"/>
            <w:shd w:val="clear" w:color="auto" w:fill="auto"/>
          </w:tcPr>
          <w:p w:rsidR="00900B0E" w:rsidRPr="001F0913" w:rsidRDefault="00F568DD" w:rsidP="00B07C90">
            <w:pPr>
              <w:tabs>
                <w:tab w:val="center" w:pos="1846"/>
              </w:tabs>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9525" t="6350" r="9525" b="1270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6BBD2" id="AutoShape 5"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8d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AnwvHRwCAAA7BAAADgAAAAAAAAAAAAAAAAAuAgAAZHJzL2Uyb0RvYy54bWxQSwECLQAU&#10;AAYACAAAACEArxXqGdwAAAAHAQAADwAAAAAAAAAAAAAAAAB2BAAAZHJzL2Rvd25yZXYueG1sUEsF&#10;BgAAAAAEAAQA8wAAAH8FAAAAAA==&#10;"/>
                  </w:pict>
                </mc:Fallback>
              </mc:AlternateContent>
            </w:r>
            <w:r w:rsidR="00B07C90">
              <w:rPr>
                <w:rFonts w:ascii="Arial" w:hAnsi="Arial" w:cs="Arial"/>
                <w:sz w:val="20"/>
              </w:rPr>
              <w:tab/>
            </w:r>
          </w:p>
        </w:tc>
      </w:tr>
      <w:tr w:rsidR="00900B0E" w:rsidRPr="001F0913" w:rsidTr="00900B0E">
        <w:tc>
          <w:tcPr>
            <w:tcW w:w="3794" w:type="dxa"/>
            <w:shd w:val="clear" w:color="auto" w:fill="auto"/>
          </w:tcPr>
          <w:p w:rsidR="00900B0E" w:rsidRPr="001A2522" w:rsidRDefault="00BD2DA9" w:rsidP="00BE3AB1">
            <w:pPr>
              <w:jc w:val="center"/>
              <w:rPr>
                <w:rFonts w:ascii="Arial" w:hAnsi="Arial" w:cs="Arial"/>
                <w:b/>
                <w:sz w:val="20"/>
              </w:rPr>
            </w:pPr>
            <w:bookmarkStart w:id="3" w:name="firma1"/>
            <w:bookmarkEnd w:id="3"/>
            <w:r>
              <w:rPr>
                <w:rFonts w:ascii="Arial" w:hAnsi="Arial" w:cs="Arial"/>
                <w:b/>
                <w:sz w:val="20"/>
              </w:rPr>
              <w:t>ING. RAÚL EVERARDO GUTIÉRREZ CASTAÑEDA</w:t>
            </w:r>
          </w:p>
          <w:p w:rsidR="00900B0E" w:rsidRPr="001A2522" w:rsidRDefault="00BD2DA9" w:rsidP="001A2522">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rsidR="00900B0E" w:rsidRPr="001F0913" w:rsidRDefault="00B07C90" w:rsidP="00B07C90">
            <w:pPr>
              <w:tabs>
                <w:tab w:val="left" w:pos="668"/>
              </w:tabs>
              <w:rPr>
                <w:rFonts w:ascii="Arial" w:hAnsi="Arial" w:cs="Arial"/>
                <w:sz w:val="20"/>
              </w:rPr>
            </w:pPr>
            <w:r>
              <w:rPr>
                <w:rFonts w:ascii="Arial" w:hAnsi="Arial" w:cs="Arial"/>
                <w:sz w:val="20"/>
              </w:rPr>
              <w:tab/>
            </w:r>
          </w:p>
        </w:tc>
        <w:tc>
          <w:tcPr>
            <w:tcW w:w="3908" w:type="dxa"/>
            <w:shd w:val="clear" w:color="auto" w:fill="auto"/>
          </w:tcPr>
          <w:p w:rsidR="00900B0E" w:rsidRPr="001A2522" w:rsidRDefault="00BD2DA9" w:rsidP="00BE3AB1">
            <w:pPr>
              <w:jc w:val="center"/>
              <w:rPr>
                <w:rFonts w:ascii="Arial" w:hAnsi="Arial" w:cs="Arial"/>
                <w:b/>
                <w:sz w:val="20"/>
              </w:rPr>
            </w:pPr>
            <w:bookmarkStart w:id="5" w:name="firma2"/>
            <w:bookmarkEnd w:id="5"/>
            <w:r>
              <w:rPr>
                <w:rFonts w:ascii="Arial" w:hAnsi="Arial" w:cs="Arial"/>
                <w:b/>
                <w:sz w:val="20"/>
              </w:rPr>
              <w:t>MTRO. ARNOLDO SOLÓRZANO CUEVAS</w:t>
            </w:r>
          </w:p>
          <w:p w:rsidR="00900B0E" w:rsidRPr="001A2522" w:rsidRDefault="00BD2DA9" w:rsidP="00B07C90">
            <w:pPr>
              <w:jc w:val="center"/>
              <w:rPr>
                <w:rFonts w:ascii="Arial" w:hAnsi="Arial" w:cs="Arial"/>
                <w:b/>
                <w:sz w:val="20"/>
              </w:rPr>
            </w:pPr>
            <w:bookmarkStart w:id="6" w:name="Cargo2"/>
            <w:bookmarkEnd w:id="6"/>
            <w:r>
              <w:rPr>
                <w:rFonts w:ascii="Arial" w:hAnsi="Arial" w:cs="Arial"/>
                <w:b/>
                <w:sz w:val="20"/>
              </w:rPr>
              <w:t>TESORERO MUNICIPAL</w:t>
            </w:r>
          </w:p>
        </w:tc>
      </w:tr>
    </w:tbl>
    <w:p w:rsidR="00002A2C" w:rsidRDefault="00002A2C">
      <w:pPr>
        <w:rPr>
          <w:rFonts w:ascii="Arial" w:hAnsi="Arial" w:cs="Arial"/>
        </w:rPr>
      </w:pPr>
    </w:p>
    <w:p w:rsidR="00900B0E" w:rsidRPr="00721735" w:rsidRDefault="00900B0E" w:rsidP="00DB3177">
      <w:pPr>
        <w:jc w:val="center"/>
        <w:rPr>
          <w:rFonts w:ascii="C39HrP24DhTt" w:hAnsi="C39HrP24DhTt" w:cs="Arial"/>
          <w:sz w:val="44"/>
          <w:szCs w:val="44"/>
        </w:rPr>
      </w:pPr>
    </w:p>
    <w:p w:rsidR="00900B0E" w:rsidRDefault="00900B0E" w:rsidP="002A42CF">
      <w:pPr>
        <w:rPr>
          <w:rFonts w:ascii="Arial" w:hAnsi="Arial" w:cs="Arial"/>
          <w:sz w:val="24"/>
          <w:szCs w:val="24"/>
        </w:rPr>
      </w:pPr>
    </w:p>
    <w:p w:rsidR="002A42CF" w:rsidRPr="00076359" w:rsidRDefault="00BD2DA9" w:rsidP="002A42CF">
      <w:pPr>
        <w:jc w:val="center"/>
        <w:rPr>
          <w:rFonts w:ascii="C39HrP24DhTt" w:hAnsi="C39HrP24DhTt" w:cs="Arial"/>
          <w:sz w:val="44"/>
          <w:szCs w:val="44"/>
        </w:rPr>
      </w:pPr>
      <w:bookmarkStart w:id="7" w:name="codigo"/>
      <w:bookmarkEnd w:id="7"/>
      <w:r>
        <w:rPr>
          <w:rFonts w:ascii="C39HrP24DhTt" w:hAnsi="C39HrP24DhTt" w:cs="Arial"/>
          <w:sz w:val="44"/>
          <w:szCs w:val="44"/>
        </w:rPr>
        <w:t>ASEJ2022-13-19-08-2023-1</w:t>
      </w:r>
    </w:p>
    <w:p w:rsidR="002A42CF" w:rsidRDefault="002A42CF" w:rsidP="00002A2C">
      <w:pPr>
        <w:rPr>
          <w:rFonts w:ascii="Arial" w:hAnsi="Arial" w:cs="Arial"/>
          <w:sz w:val="24"/>
          <w:szCs w:val="24"/>
        </w:rPr>
      </w:pPr>
    </w:p>
    <w:p w:rsidR="00002A2C" w:rsidRPr="00B157EC" w:rsidRDefault="00002A2C" w:rsidP="00002A2C">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002A2C" w:rsidRPr="007326BD" w:rsidRDefault="00002A2C">
      <w:pPr>
        <w:rPr>
          <w:rFonts w:ascii="Arial" w:hAnsi="Arial" w:cs="Arial"/>
        </w:rPr>
      </w:pPr>
    </w:p>
    <w:sectPr w:rsidR="00002A2C"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39HrP24DhTt">
    <w:panose1 w:val="00000000000000000000"/>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02A2C"/>
    <w:rsid w:val="00076359"/>
    <w:rsid w:val="000D0F62"/>
    <w:rsid w:val="001A2522"/>
    <w:rsid w:val="001F207A"/>
    <w:rsid w:val="00203DB3"/>
    <w:rsid w:val="002A42CF"/>
    <w:rsid w:val="0040191D"/>
    <w:rsid w:val="005D285A"/>
    <w:rsid w:val="007326BD"/>
    <w:rsid w:val="007D77B1"/>
    <w:rsid w:val="00806603"/>
    <w:rsid w:val="00900B0E"/>
    <w:rsid w:val="00A45E83"/>
    <w:rsid w:val="00A74DC0"/>
    <w:rsid w:val="00B07C90"/>
    <w:rsid w:val="00BD2DA9"/>
    <w:rsid w:val="00BE3AB1"/>
    <w:rsid w:val="00CC558D"/>
    <w:rsid w:val="00D27CAF"/>
    <w:rsid w:val="00D64D9B"/>
    <w:rsid w:val="00DB3177"/>
    <w:rsid w:val="00F568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D11F27-BE0C-42CC-A550-C708103DE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paragraph" w:styleId="Ttulo1">
    <w:name w:val="heading 1"/>
    <w:basedOn w:val="Normal"/>
    <w:next w:val="Normal"/>
    <w:link w:val="Ttulo1Car"/>
    <w:uiPriority w:val="99"/>
    <w:qFormat/>
    <w:rsid w:val="00BD2DA9"/>
    <w:pPr>
      <w:autoSpaceDE w:val="0"/>
      <w:autoSpaceDN w:val="0"/>
      <w:adjustRightInd w:val="0"/>
      <w:spacing w:after="0" w:line="240" w:lineRule="auto"/>
      <w:outlineLvl w:val="0"/>
    </w:pPr>
    <w:rPr>
      <w:rFonts w:cs="Calibri"/>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9"/>
    <w:rsid w:val="00BD2DA9"/>
    <w:rPr>
      <w:rFonts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2BB47-84FA-4E0C-97FE-B921CD983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1270</Words>
  <Characters>6987</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ASEJ</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 SC</cp:lastModifiedBy>
  <cp:revision>7</cp:revision>
  <dcterms:created xsi:type="dcterms:W3CDTF">2020-05-27T16:03:00Z</dcterms:created>
  <dcterms:modified xsi:type="dcterms:W3CDTF">2023-08-20T00:43:00Z</dcterms:modified>
</cp:coreProperties>
</file>