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rsidTr="00A45E83">
        <w:tc>
          <w:tcPr>
            <w:tcW w:w="8978" w:type="dxa"/>
          </w:tcPr>
          <w:p w:rsidR="00A45E83" w:rsidRPr="007326BD" w:rsidRDefault="00A45E83" w:rsidP="00A45E83">
            <w:pPr>
              <w:spacing w:after="0" w:line="240" w:lineRule="auto"/>
              <w:jc w:val="center"/>
              <w:rPr>
                <w:rFonts w:ascii="Arial" w:hAnsi="Arial" w:cs="Arial"/>
                <w:b/>
                <w:sz w:val="28"/>
                <w:szCs w:val="28"/>
              </w:rPr>
            </w:pPr>
            <w:r w:rsidRPr="007326BD">
              <w:rPr>
                <w:rFonts w:ascii="Arial" w:hAnsi="Arial" w:cs="Arial"/>
                <w:b/>
                <w:sz w:val="28"/>
                <w:szCs w:val="28"/>
              </w:rPr>
              <w:t>EVALUACIÓN DE PROGRAMAS</w:t>
            </w:r>
          </w:p>
          <w:p w:rsidR="00A45E83" w:rsidRPr="00C6688B" w:rsidRDefault="00351E69" w:rsidP="00A45E83">
            <w:pPr>
              <w:spacing w:after="0" w:line="240" w:lineRule="auto"/>
              <w:jc w:val="center"/>
              <w:rPr>
                <w:rFonts w:ascii="Arial" w:hAnsi="Arial" w:cs="Arial"/>
                <w:b/>
                <w:sz w:val="28"/>
                <w:szCs w:val="28"/>
              </w:rPr>
            </w:pPr>
            <w:bookmarkStart w:id="0" w:name="ente"/>
            <w:bookmarkEnd w:id="0"/>
            <w:r>
              <w:rPr>
                <w:rFonts w:ascii="Arial" w:hAnsi="Arial" w:cs="Arial"/>
                <w:b/>
                <w:sz w:val="28"/>
                <w:szCs w:val="28"/>
              </w:rPr>
              <w:t>MUNICIPIO TAMAZULA DE GORDIANO</w:t>
            </w:r>
          </w:p>
          <w:p w:rsidR="00A45E83" w:rsidRPr="00C6688B" w:rsidRDefault="00351E69" w:rsidP="00A45E83">
            <w:pPr>
              <w:spacing w:after="0" w:line="240" w:lineRule="auto"/>
              <w:jc w:val="center"/>
              <w:rPr>
                <w:rFonts w:ascii="Arial" w:hAnsi="Arial" w:cs="Arial"/>
                <w:b/>
                <w:sz w:val="28"/>
                <w:szCs w:val="28"/>
              </w:rPr>
            </w:pPr>
            <w:bookmarkStart w:id="1" w:name="periodo"/>
            <w:bookmarkEnd w:id="1"/>
            <w:r>
              <w:rPr>
                <w:rFonts w:ascii="Arial" w:hAnsi="Arial" w:cs="Arial"/>
                <w:b/>
                <w:sz w:val="28"/>
                <w:szCs w:val="28"/>
              </w:rPr>
              <w:t>DEL 1 DE JULIO AL 31 DE DICIEMBRE DE 2022</w:t>
            </w:r>
          </w:p>
        </w:tc>
      </w:tr>
    </w:tbl>
    <w:p w:rsidR="00806603" w:rsidRPr="007326BD" w:rsidRDefault="00806603" w:rsidP="00A45E83">
      <w:pPr>
        <w:spacing w:after="120" w:line="240" w:lineRule="auto"/>
        <w:rPr>
          <w:rFonts w:ascii="Arial" w:hAnsi="Arial" w:cs="Arial"/>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rsidTr="00A45E83">
        <w:tc>
          <w:tcPr>
            <w:tcW w:w="8978" w:type="dxa"/>
          </w:tcPr>
          <w:p w:rsidR="00351E69" w:rsidRDefault="00351E69" w:rsidP="00351E69">
            <w:pPr>
              <w:tabs>
                <w:tab w:val="left" w:pos="3675"/>
              </w:tabs>
              <w:rPr>
                <w:noProof/>
              </w:rPr>
            </w:pPr>
            <w:bookmarkStart w:id="2" w:name="cuerpo"/>
            <w:bookmarkEnd w:id="2"/>
          </w:p>
          <w:p w:rsidR="00351E69" w:rsidRDefault="00351E69" w:rsidP="00351E69">
            <w:pPr>
              <w:rPr>
                <w:noProof/>
              </w:rPr>
            </w:pPr>
            <w:r>
              <w:rPr>
                <w:rFonts w:ascii="Arial" w:hAnsi="Arial" w:cs="Arial"/>
                <w:noProof/>
                <w:sz w:val="23"/>
                <w:szCs w:val="23"/>
              </w:rPr>
              <w:drawing>
                <wp:inline distT="0" distB="0" distL="0" distR="0">
                  <wp:extent cx="2447925" cy="885825"/>
                  <wp:effectExtent l="0" t="0" r="9525" b="9525"/>
                  <wp:docPr id="7639899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447925" cy="885825"/>
                          </a:xfrm>
                          <a:prstGeom prst="rect">
                            <a:avLst/>
                          </a:prstGeom>
                          <a:noFill/>
                          <a:ln>
                            <a:noFill/>
                          </a:ln>
                        </pic:spPr>
                      </pic:pic>
                    </a:graphicData>
                  </a:graphic>
                </wp:inline>
              </w:drawing>
            </w:r>
          </w:p>
          <w:p w:rsidR="00351E69" w:rsidRDefault="00351E69" w:rsidP="00351E69">
            <w:r>
              <w:br w:type="page"/>
            </w:r>
            <w:r>
              <w:tab/>
            </w:r>
          </w:p>
          <w:p w:rsidR="00351E69" w:rsidRDefault="00351E69" w:rsidP="00351E69">
            <w:pPr>
              <w:spacing w:after="120"/>
              <w:rPr>
                <w:rFonts w:ascii="Arial" w:hAnsi="Arial" w:cs="Arial"/>
                <w:sz w:val="28"/>
                <w:szCs w:val="28"/>
              </w:rPr>
            </w:pPr>
          </w:p>
          <w:p w:rsidR="00351E69" w:rsidRDefault="00351E69" w:rsidP="00351E69">
            <w:pPr>
              <w:pStyle w:val="Ttulo1"/>
              <w:keepNext/>
              <w:keepLines/>
              <w:spacing w:before="240" w:line="276" w:lineRule="auto"/>
              <w:rPr>
                <w:rFonts w:ascii="Calibri Light" w:hAnsi="Calibri Light" w:cs="Calibri Light"/>
                <w:color w:val="2E74B5"/>
                <w:sz w:val="32"/>
                <w:szCs w:val="32"/>
              </w:rPr>
            </w:pPr>
            <w:r>
              <w:rPr>
                <w:rFonts w:ascii="Calibri Light" w:hAnsi="Calibri Light" w:cs="Calibri Light"/>
                <w:color w:val="2E74B5"/>
                <w:sz w:val="32"/>
                <w:szCs w:val="32"/>
              </w:rPr>
              <w:t>INTRODUCCIÓN</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De acuerdo a los lineamientos establecidos en la ley de fiscalización superior y rendición de cuentas del estado de Jalisco y sus municipios, en su artículo 37 numeral 1 fracción IV se da cumplimiento a la evaluación de programas del segundo avance de informes de gestión financiera.</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spacing w:after="120"/>
              <w:rPr>
                <w:rFonts w:ascii="Arial" w:hAnsi="Arial" w:cs="Arial"/>
                <w:sz w:val="28"/>
                <w:szCs w:val="28"/>
              </w:rPr>
            </w:pPr>
          </w:p>
          <w:p w:rsidR="00351E69" w:rsidRDefault="00351E69" w:rsidP="00351E69">
            <w:pPr>
              <w:pStyle w:val="Ttulo1"/>
              <w:keepNext/>
              <w:keepLines/>
              <w:spacing w:before="240" w:line="276" w:lineRule="auto"/>
              <w:rPr>
                <w:color w:val="2E74B5"/>
                <w:sz w:val="32"/>
                <w:szCs w:val="32"/>
              </w:rPr>
            </w:pPr>
            <w:r>
              <w:rPr>
                <w:rFonts w:ascii="Calibri Light" w:hAnsi="Calibri Light" w:cs="Calibri Light"/>
                <w:color w:val="2E74B5"/>
                <w:sz w:val="32"/>
                <w:szCs w:val="32"/>
              </w:rPr>
              <w:t>RESULTADOS DE LA GESTIÓN</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cs="Calibri"/>
                <w:color w:val="808080"/>
              </w:rPr>
              <w:t>Redacte en este apartado una narrativa que describa el cumplimiento de las metas y objetivos que reportó en el formato de Indicadores de Desempeño (SID, o formato 13). En dicho formato se reporta el cumplimiento de metas de los Programas que tienen una MIR y los que no la tienen; por ello se sugiere que este apartado cuente al menos con dos secciones, una cada grupo de programas. Además, es recomendable reportar el avance en el cumplimiento de los objetivos de desarrollo, en caso de que su instrumento de planeación municipal cuente con indicadores.</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1. Programas con Matrices de Indicadores para Resultados</w:t>
            </w:r>
            <w:r>
              <w:rPr>
                <w:rFonts w:cs="Calibri"/>
                <w:color w:val="808080"/>
              </w:rPr>
              <w:t xml:space="preserve"> </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fornian FB" w:hAnsi="Californian FB" w:cs="Californian FB"/>
                <w:color w:val="000000"/>
                <w:sz w:val="18"/>
                <w:szCs w:val="18"/>
              </w:rPr>
              <w:t>Administrar la Hacienda Pública Municipal avance: 97/100</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2. Programas de gestión (sin MIR)</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Programa único 96/100</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3. Resultados a partir de indicadores de desarrollo del PMD</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cs="Calibri"/>
                <w:color w:val="808080"/>
              </w:rPr>
              <w:t>Describa los resultados que se hayan alcanzado en los Indicadores de Desarrollo que se contemplen en su Plan Municipal de Desarrollo. En caso de que el PMD no cuente con Indicadores, puede describir la relación que tienen los objetivos de sus programas con los objetivos de desarrollo contemplados en el PMD</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spacing w:after="120"/>
              <w:rPr>
                <w:rFonts w:ascii="Arial" w:hAnsi="Arial" w:cs="Arial"/>
                <w:sz w:val="28"/>
                <w:szCs w:val="28"/>
              </w:rPr>
            </w:pPr>
          </w:p>
          <w:p w:rsidR="00351E69" w:rsidRDefault="00351E69" w:rsidP="00351E69">
            <w:pPr>
              <w:pStyle w:val="Ttulo1"/>
              <w:keepNext/>
              <w:keepLines/>
              <w:spacing w:before="240" w:line="276" w:lineRule="auto"/>
              <w:rPr>
                <w:color w:val="2E74B5"/>
                <w:sz w:val="32"/>
                <w:szCs w:val="32"/>
              </w:rPr>
            </w:pPr>
            <w:r>
              <w:rPr>
                <w:rFonts w:ascii="Calibri Light" w:hAnsi="Calibri Light" w:cs="Calibri Light"/>
                <w:color w:val="2E74B5"/>
                <w:sz w:val="32"/>
                <w:szCs w:val="32"/>
              </w:rPr>
              <w:t>PROCESOS CONCLUIDOS</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cs="Calibri"/>
                <w:color w:val="808080"/>
              </w:rPr>
              <w:t xml:space="preserve">El artículo 37, numeral 1, establece que los Avances de Gestión Financiera deben contener (fracción III) </w:t>
            </w:r>
            <w:r>
              <w:rPr>
                <w:rFonts w:cs="Calibri"/>
                <w:color w:val="808080"/>
                <w:lang w:val="es-ES"/>
              </w:rPr>
              <w:t xml:space="preserve">los </w:t>
            </w:r>
            <w:r>
              <w:rPr>
                <w:rFonts w:cs="Calibri"/>
                <w:b/>
                <w:bCs/>
                <w:color w:val="808080"/>
                <w:lang w:val="es-ES"/>
              </w:rPr>
              <w:t xml:space="preserve">procesos concluidos </w:t>
            </w:r>
            <w:r>
              <w:rPr>
                <w:rFonts w:cs="Calibri"/>
                <w:color w:val="808080"/>
                <w:lang w:val="es-ES"/>
              </w:rPr>
              <w:t>(Ley de Fiscalización Superior y Rendición de Cuentas para el Estado de Jalisco y sus Municipios)</w:t>
            </w:r>
            <w:r>
              <w:rPr>
                <w:color w:val="808080"/>
              </w:rPr>
              <w:t>.</w:t>
            </w:r>
            <w:r>
              <w:rPr>
                <w:rFonts w:cs="Calibri"/>
                <w:color w:val="808080"/>
              </w:rPr>
              <w:t xml:space="preserve"> Se entiende por “Proceso concluido” aquel caso en el que se cumplieron las metas al 100%, o bien se ejerció el 100% del presupuesto para ese programa. Por ello, en este apartado se tendrá que redactar una narrativa que explique aquellos casos en los que se ha presentado esa situación. La base para esta narrativa es el contenido que se incorporó en el formato de Indicadores de Desempeño (SID, o formato 13).</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1. Matrices con metas concluidas o presupuesto ejercido</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Hacienda Pública Municipal:</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TOTAL APROBADO</w:t>
            </w:r>
            <w:r>
              <w:rPr>
                <w:rFonts w:ascii="Arial" w:hAnsi="Arial" w:cs="Arial"/>
                <w:sz w:val="28"/>
                <w:szCs w:val="28"/>
              </w:rPr>
              <w:tab/>
              <w:t xml:space="preserve"> 179´625,555.00 </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TOTAL PAGADO</w:t>
            </w:r>
            <w:r>
              <w:rPr>
                <w:rFonts w:ascii="Arial" w:hAnsi="Arial" w:cs="Arial"/>
                <w:sz w:val="28"/>
                <w:szCs w:val="28"/>
              </w:rPr>
              <w:tab/>
              <w:t xml:space="preserve"> 174´172,454.87</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2. Programas de gestión con metas concluidas o presupuesto ejercido</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Programa único:</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TOTAL APROBADO</w:t>
            </w:r>
            <w:r>
              <w:rPr>
                <w:rFonts w:ascii="Arial" w:hAnsi="Arial" w:cs="Arial"/>
                <w:sz w:val="28"/>
                <w:szCs w:val="28"/>
              </w:rPr>
              <w:tab/>
              <w:t xml:space="preserve"> 179´625,555.00 </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TOTAL PAGADO</w:t>
            </w:r>
            <w:r>
              <w:rPr>
                <w:rFonts w:ascii="Arial" w:hAnsi="Arial" w:cs="Arial"/>
                <w:sz w:val="28"/>
                <w:szCs w:val="28"/>
              </w:rPr>
              <w:tab/>
              <w:t xml:space="preserve"> 174´172,454.87</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spacing w:after="120"/>
              <w:rPr>
                <w:rFonts w:ascii="Arial" w:hAnsi="Arial" w:cs="Arial"/>
                <w:sz w:val="28"/>
                <w:szCs w:val="28"/>
              </w:rPr>
            </w:pPr>
          </w:p>
          <w:p w:rsidR="00351E69" w:rsidRDefault="00351E69" w:rsidP="00351E69">
            <w:pPr>
              <w:pStyle w:val="Ttulo1"/>
              <w:keepNext/>
              <w:keepLines/>
              <w:spacing w:before="240" w:line="276" w:lineRule="auto"/>
              <w:rPr>
                <w:color w:val="2E74B5"/>
                <w:sz w:val="32"/>
                <w:szCs w:val="32"/>
              </w:rPr>
            </w:pPr>
            <w:r>
              <w:rPr>
                <w:rFonts w:ascii="Calibri Light" w:hAnsi="Calibri Light" w:cs="Calibri Light"/>
                <w:color w:val="2E74B5"/>
                <w:sz w:val="32"/>
                <w:szCs w:val="32"/>
              </w:rPr>
              <w:t>AVANCES INFERIORES A LAS METAS</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cs="Calibri"/>
                <w:color w:val="808080"/>
              </w:rPr>
              <w:t>Con la finalidad de comunicar aquellas situaciones que expliquen los rezagos en el cumplimiento de las metas, se sugiere describir en este apartado las razones por las que las metas no se hubieren alcanzado en un periodo específico. Para ello, se podrían considerar justificaciones como las que se incluyen en el catálogo anexo a esta plantilla.</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1. Matrices con avances por debajo de las metas</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cs="Calibri"/>
                <w:sz w:val="20"/>
                <w:szCs w:val="20"/>
              </w:rPr>
              <w:t>Por otras causas que por su naturaleza no es posible agrupar, es decir, cuando se presente una combinación de los factores señalados en los tipos de causas mencionados anteriormente, o causas no previstas</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2. Programas de gestión con avances por debajo de las metas</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cs="Calibri"/>
                <w:color w:val="808080"/>
              </w:rPr>
              <w:t xml:space="preserve">Describa las justificaciones que expliquen los avances que se reporten por debajo de las metas en aquellos Programas de Gestión (es decir, aquellos que no cuentan con MIR) </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spacing w:after="120"/>
              <w:rPr>
                <w:rFonts w:ascii="Arial" w:hAnsi="Arial" w:cs="Arial"/>
                <w:sz w:val="28"/>
                <w:szCs w:val="28"/>
              </w:rPr>
            </w:pPr>
          </w:p>
          <w:p w:rsidR="00351E69" w:rsidRDefault="00351E69" w:rsidP="00351E69">
            <w:pPr>
              <w:spacing w:after="120"/>
              <w:rPr>
                <w:rFonts w:ascii="Arial" w:hAnsi="Arial" w:cs="Arial"/>
                <w:sz w:val="28"/>
                <w:szCs w:val="28"/>
              </w:rPr>
            </w:pPr>
          </w:p>
          <w:p w:rsidR="00351E69" w:rsidRDefault="00351E69" w:rsidP="00351E69">
            <w:pPr>
              <w:pStyle w:val="Ttulo1"/>
              <w:keepNext/>
              <w:keepLines/>
              <w:spacing w:before="240" w:line="276" w:lineRule="auto"/>
              <w:rPr>
                <w:color w:val="2E74B5"/>
                <w:sz w:val="32"/>
                <w:szCs w:val="32"/>
              </w:rPr>
            </w:pPr>
            <w:r>
              <w:rPr>
                <w:rFonts w:ascii="Calibri Light" w:hAnsi="Calibri Light" w:cs="Calibri Light"/>
                <w:color w:val="2E74B5"/>
                <w:sz w:val="32"/>
                <w:szCs w:val="32"/>
              </w:rPr>
              <w:t>REFORMULACIÓN DE PROGRAMAS</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cs="Calibri"/>
                <w:color w:val="808080"/>
              </w:rPr>
              <w:t xml:space="preserve">Describa en este apartado las modificaciones o adecuaciones que se hubieren decidido realizar a los programas (con MIR o sin MIR), en función de los resultados de la gestión, los avances inferiores a las metas y los procesos concluidos en su caso. En caso de que cuenten con resultados de evaluaciones externas, cuyos hallazgos resulten relevantes para la reformulación de los programas, también podrán incluirse en esta sección. </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1. Resultados de evaluaciones externas</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cs="Calibri"/>
                <w:color w:val="808080"/>
              </w:rPr>
              <w:t>En caso de contar con resultados de evaluaciones externas, descríbalos en esta sección.</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2. Reformulación de programas con MIR</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cs="Calibri"/>
                <w:sz w:val="20"/>
                <w:szCs w:val="20"/>
              </w:rPr>
              <w:t>Por otras causas que por su naturaleza no es posible agrupar, es decir, cuando se presente una combinación de los factores señalados en los tipos de causas mencionados anteriormente, o causas no previstas</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3. Reformulación de Programas de gestión</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cs="Calibri"/>
                <w:color w:val="808080"/>
              </w:rPr>
              <w:t xml:space="preserve">Describa las modificaciones que se hubieren decidido realizar a Programas de Gestión (es decir, aquellos que no cuentan con MIR) </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spacing w:after="120"/>
              <w:rPr>
                <w:rFonts w:ascii="Arial" w:hAnsi="Arial" w:cs="Arial"/>
                <w:sz w:val="28"/>
                <w:szCs w:val="28"/>
              </w:rPr>
            </w:pPr>
          </w:p>
          <w:p w:rsidR="00351E69" w:rsidRDefault="00351E69" w:rsidP="00351E69">
            <w:pPr>
              <w:spacing w:after="120"/>
              <w:rPr>
                <w:rFonts w:ascii="Arial" w:hAnsi="Arial" w:cs="Arial"/>
                <w:sz w:val="28"/>
                <w:szCs w:val="28"/>
              </w:rPr>
            </w:pPr>
          </w:p>
          <w:p w:rsidR="00351E69" w:rsidRDefault="00351E69" w:rsidP="00351E69">
            <w:pPr>
              <w:spacing w:after="120"/>
              <w:rPr>
                <w:rFonts w:ascii="Arial" w:hAnsi="Arial" w:cs="Arial"/>
                <w:sz w:val="28"/>
                <w:szCs w:val="28"/>
              </w:rPr>
            </w:pPr>
          </w:p>
          <w:p w:rsidR="00351E69" w:rsidRDefault="00351E69" w:rsidP="00351E69">
            <w:pPr>
              <w:pStyle w:val="Ttulo1"/>
              <w:keepNext/>
              <w:keepLines/>
              <w:spacing w:before="240" w:line="276" w:lineRule="auto"/>
              <w:rPr>
                <w:color w:val="2E74B5"/>
                <w:sz w:val="32"/>
                <w:szCs w:val="32"/>
              </w:rPr>
            </w:pPr>
            <w:r>
              <w:rPr>
                <w:rFonts w:ascii="Calibri Light" w:hAnsi="Calibri Light" w:cs="Calibri Light"/>
                <w:color w:val="2E74B5"/>
                <w:sz w:val="32"/>
                <w:szCs w:val="32"/>
              </w:rPr>
              <w:t>ANEXOS</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cs="Calibri"/>
                <w:color w:val="808080"/>
              </w:rPr>
              <w:t>Incluya en este apartado cualquier anexo gráfico o documental que se considere necesario para complementar el informe</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spacing w:after="120"/>
              <w:rPr>
                <w:rFonts w:ascii="Arial" w:hAnsi="Arial" w:cs="Arial"/>
                <w:sz w:val="28"/>
                <w:szCs w:val="28"/>
              </w:rPr>
            </w:pPr>
          </w:p>
          <w:p w:rsidR="00351E69" w:rsidRDefault="00351E69" w:rsidP="00351E69">
            <w:pPr>
              <w:spacing w:after="120"/>
              <w:rPr>
                <w:rFonts w:ascii="Arial" w:hAnsi="Arial" w:cs="Arial"/>
                <w:sz w:val="28"/>
                <w:szCs w:val="28"/>
              </w:rPr>
            </w:pPr>
          </w:p>
          <w:p w:rsidR="00351E69" w:rsidRDefault="00351E69" w:rsidP="00351E69">
            <w:pPr>
              <w:rPr>
                <w:rFonts w:ascii="Arial" w:hAnsi="Arial" w:cs="Arial"/>
                <w:sz w:val="28"/>
                <w:szCs w:val="28"/>
              </w:rPr>
            </w:pPr>
          </w:p>
          <w:p w:rsidR="00351E69" w:rsidRDefault="00351E69" w:rsidP="00351E69">
            <w:pPr>
              <w:rPr>
                <w:rFonts w:ascii="Arial" w:hAnsi="Arial" w:cs="Arial"/>
                <w:sz w:val="28"/>
                <w:szCs w:val="28"/>
              </w:rPr>
            </w:pPr>
          </w:p>
          <w:p w:rsidR="00351E69" w:rsidRDefault="00351E69" w:rsidP="00351E69">
            <w:pPr>
              <w:rPr>
                <w:rFonts w:ascii="Arial" w:hAnsi="Arial" w:cs="Arial"/>
                <w:sz w:val="28"/>
                <w:szCs w:val="28"/>
              </w:rPr>
            </w:pPr>
          </w:p>
          <w:p w:rsidR="00351E69" w:rsidRDefault="00351E69" w:rsidP="00351E69">
            <w:pPr>
              <w:rPr>
                <w:rFonts w:ascii="Arial" w:hAnsi="Arial" w:cs="Arial"/>
                <w:sz w:val="28"/>
                <w:szCs w:val="28"/>
              </w:rPr>
            </w:pPr>
          </w:p>
          <w:p w:rsidR="00351E69" w:rsidRDefault="00351E69" w:rsidP="00351E69">
            <w:pPr>
              <w:rPr>
                <w:rFonts w:ascii="Arial" w:hAnsi="Arial" w:cs="Arial"/>
                <w:sz w:val="28"/>
                <w:szCs w:val="28"/>
              </w:rPr>
            </w:pPr>
          </w:p>
          <w:p w:rsidR="00351E69" w:rsidRDefault="00351E69" w:rsidP="00351E69">
            <w:pPr>
              <w:rPr>
                <w:rFonts w:ascii="Arial" w:hAnsi="Arial" w:cs="Arial"/>
                <w:sz w:val="28"/>
                <w:szCs w:val="28"/>
              </w:rPr>
            </w:pPr>
          </w:p>
          <w:p w:rsidR="00351E69" w:rsidRDefault="00351E69" w:rsidP="00351E69">
            <w:pPr>
              <w:tabs>
                <w:tab w:val="left" w:pos="3857"/>
              </w:tabs>
              <w:rPr>
                <w:rFonts w:ascii="Arial" w:hAnsi="Arial" w:cs="Arial"/>
                <w:sz w:val="28"/>
                <w:szCs w:val="28"/>
              </w:rPr>
            </w:pPr>
            <w:r>
              <w:rPr>
                <w:rFonts w:ascii="Arial" w:hAnsi="Arial" w:cs="Arial"/>
                <w:sz w:val="28"/>
                <w:szCs w:val="28"/>
              </w:rPr>
              <w:tab/>
            </w:r>
          </w:p>
          <w:p w:rsidR="00351E69" w:rsidRDefault="00351E69" w:rsidP="00351E69">
            <w:pPr>
              <w:rPr>
                <w:rFonts w:ascii="Arial" w:hAnsi="Arial" w:cs="Arial"/>
                <w:sz w:val="28"/>
                <w:szCs w:val="28"/>
              </w:rPr>
            </w:pPr>
          </w:p>
          <w:p w:rsidR="00351E69" w:rsidRDefault="00351E69" w:rsidP="00351E69">
            <w:pPr>
              <w:spacing w:after="120"/>
              <w:rPr>
                <w:rFonts w:ascii="Arial" w:hAnsi="Arial" w:cs="Arial"/>
                <w:sz w:val="28"/>
                <w:szCs w:val="28"/>
              </w:rPr>
            </w:pPr>
          </w:p>
          <w:p w:rsidR="00351E69" w:rsidRDefault="00351E69" w:rsidP="00351E69">
            <w:pPr>
              <w:pStyle w:val="Ttulo1"/>
              <w:keepNext/>
              <w:keepLines/>
              <w:spacing w:before="240" w:line="276" w:lineRule="auto"/>
              <w:rPr>
                <w:color w:val="2E74B5"/>
                <w:sz w:val="32"/>
                <w:szCs w:val="32"/>
              </w:rPr>
            </w:pPr>
            <w:r>
              <w:rPr>
                <w:rFonts w:ascii="Calibri Light" w:hAnsi="Calibri Light" w:cs="Calibri Light"/>
                <w:color w:val="2E74B5"/>
                <w:sz w:val="32"/>
                <w:szCs w:val="32"/>
              </w:rPr>
              <w:t>REFERENCIAS DOCUMENTALES</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cs="Calibri"/>
                <w:color w:val="808080"/>
              </w:rPr>
              <w:t>Incluya en este apartado las referencias a documentos oficiales que se encuentren disponibles públicamente, y que resulten necesarios para sustentar la información que se reporta en este informe</w:t>
            </w: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351E69" w:rsidRDefault="00351E69" w:rsidP="00351E69">
            <w:pPr>
              <w:spacing w:after="120"/>
              <w:rPr>
                <w:rFonts w:ascii="Arial" w:hAnsi="Arial" w:cs="Arial"/>
                <w:sz w:val="28"/>
                <w:szCs w:val="28"/>
              </w:rPr>
            </w:pPr>
          </w:p>
          <w:p w:rsidR="00351E69" w:rsidRDefault="00351E69" w:rsidP="00351E69">
            <w:pPr>
              <w:spacing w:after="120"/>
              <w:rPr>
                <w:rFonts w:ascii="Arial" w:hAnsi="Arial" w:cs="Arial"/>
                <w:sz w:val="28"/>
                <w:szCs w:val="28"/>
              </w:rPr>
            </w:pPr>
          </w:p>
          <w:p w:rsidR="00351E69" w:rsidRDefault="00351E69" w:rsidP="00351E69">
            <w:pPr>
              <w:spacing w:after="120"/>
              <w:rPr>
                <w:rFonts w:ascii="Arial" w:hAnsi="Arial" w:cs="Arial"/>
                <w:sz w:val="28"/>
                <w:szCs w:val="28"/>
              </w:rPr>
            </w:pP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8596"/>
            </w:tblGrid>
            <w:tr w:rsidR="00351E69">
              <w:tblPrEx>
                <w:tblCellMar>
                  <w:top w:w="0" w:type="dxa"/>
                  <w:bottom w:w="0" w:type="dxa"/>
                </w:tblCellMar>
              </w:tblPrEx>
              <w:tc>
                <w:tcPr>
                  <w:tcW w:w="8828" w:type="dxa"/>
                  <w:tcBorders>
                    <w:top w:val="single" w:sz="6" w:space="0" w:color="auto"/>
                    <w:left w:val="single" w:sz="6" w:space="0" w:color="auto"/>
                    <w:bottom w:val="single" w:sz="6" w:space="0" w:color="auto"/>
                    <w:right w:val="single" w:sz="6" w:space="0" w:color="auto"/>
                  </w:tcBorders>
                </w:tcPr>
                <w:p w:rsidR="00351E69" w:rsidRDefault="00351E69" w:rsidP="00351E69">
                  <w:pPr>
                    <w:rPr>
                      <w:rFonts w:ascii="Arial" w:hAnsi="Arial" w:cs="Arial"/>
                      <w:b/>
                      <w:bCs/>
                      <w:sz w:val="20"/>
                      <w:szCs w:val="20"/>
                    </w:rPr>
                  </w:pPr>
                </w:p>
              </w:tc>
            </w:tr>
            <w:tr w:rsidR="00351E69">
              <w:tblPrEx>
                <w:tblCellMar>
                  <w:top w:w="0" w:type="dxa"/>
                  <w:bottom w:w="0" w:type="dxa"/>
                </w:tblCellMar>
              </w:tblPrEx>
              <w:tc>
                <w:tcPr>
                  <w:tcW w:w="8828" w:type="dxa"/>
                  <w:tcBorders>
                    <w:top w:val="single" w:sz="6" w:space="0" w:color="auto"/>
                    <w:left w:val="single" w:sz="6" w:space="0" w:color="auto"/>
                    <w:bottom w:val="single" w:sz="6" w:space="0" w:color="auto"/>
                    <w:right w:val="single" w:sz="6" w:space="0" w:color="auto"/>
                  </w:tcBorders>
                </w:tcPr>
                <w:p w:rsidR="00351E69" w:rsidRDefault="00351E69" w:rsidP="00351E69">
                  <w:pPr>
                    <w:rPr>
                      <w:rFonts w:ascii="Arial" w:hAnsi="Arial" w:cs="Arial"/>
                      <w:sz w:val="20"/>
                      <w:szCs w:val="20"/>
                    </w:rPr>
                  </w:pPr>
                  <w:r>
                    <w:rPr>
                      <w:rFonts w:ascii="Arial" w:hAnsi="Arial" w:cs="Arial"/>
                      <w:sz w:val="20"/>
                      <w:szCs w:val="20"/>
                    </w:rPr>
                    <w:t>Este es un catálogo de posibles justificaciones que expliquen avances por debajo de la meta, tenga en consideración que sus argumentos deberán ofrecer narrativas explicativas más allá de esta lista, por ello, este catálogo es únicamente una lista de ideas.  a. Por programación original deficiente, es decir:  i. Cuando se reduzcan, por cualquier razón, los montos de recursos originalmente presupuestados,  ii. Cuando aumenten de forma imprevista y por cualquier razón, los costos de los insumos, y iii. Cuando la periodicidad de la meta no fue adecuadamente prevista. b. Por emergencias provocadas por accidentes y/o fenómenos naturales adversos, es decir: i. Cuando el suceso fenómenos naturales como lluvias, huracanes, ciclones, sequías, sismos, nevadas, entre otros, no hayan permitido condiciones para la operación, y ii. Cuando a causa de accidentes, producto de actividades humanas, no hayan permitido condiciones para la operación. c. Por menor demanda de bienes y servicios, es decir, porque el número de usuarios o la demanda de éstos disminuyó. d. Por retrasos en los trámites para el ejercicio presupuestario por parte de la Entidad Fiscalizable, es decir, cuando ésta fue inoportuna o insuficiente en la realización de los procesos administrativos necesarios para la ejecución del presupuesto; e. Por incumplimiento o retraso en los trámites para el ejercicio presupuestario por parte de instancias gubernamentales diferentes a la Entidad Fiscalizable, es decir, cuando éstas fueron inoportunas o ineficiente en la realización de los procesos administrativos necesarios para la ejecución del presupuesto;  f. Por incumplimiento o inconformidades de proveedores y contratistas, así como por oposición de grupos sociales, es decir, cuando el incumplimiento corresponde a los proveedores y contratistas, o por inconformidades de éstos y/o de grupos sociales para la realización de los proyectos; g. Por modificación de atribuciones institucionales por disposiciones normativas, es decir, cuando a partir de reformas legales, decretos o resoluciones judiciales, ocurre una reestructuración programática que afecta el cumplimiento de las metas; h. Por incumplimiento debido a situaciones normativas extrapresupuestarias ajenas a la Entidad Fiscalizable, es decir, cuando por retrasos en la publicación de disposiciones normativas o procesos judiciales, no haya sido posible operar como estaba programado;  i. Por otras causas que por su naturaleza no es posible agrupar, es decir, cuando se presente una combinación de los factores señalados en los tipos de causas mencionados anteriormente, o causas no previstas;  j. Por otras explicaciones a las variaciones, cuando se trate de resultados por encima del 100 por ciento de cumplimiento, es decir, cuando por cualquier factor el resultado superó el valor programado.</w:t>
                  </w:r>
                </w:p>
              </w:tc>
            </w:tr>
          </w:tbl>
          <w:p w:rsidR="00351E69" w:rsidRDefault="00351E69" w:rsidP="00351E69">
            <w:pPr>
              <w:spacing w:after="120"/>
              <w:rPr>
                <w:rFonts w:ascii="Arial" w:hAnsi="Arial" w:cs="Arial"/>
                <w:sz w:val="28"/>
                <w:szCs w:val="28"/>
              </w:rPr>
            </w:pPr>
          </w:p>
          <w:p w:rsidR="00351E69" w:rsidRDefault="00351E69" w:rsidP="00351E69">
            <w:pPr>
              <w:rPr>
                <w:rFonts w:ascii="Arial" w:hAnsi="Arial" w:cs="Arial"/>
                <w:sz w:val="23"/>
                <w:szCs w:val="23"/>
              </w:rPr>
            </w:pPr>
          </w:p>
          <w:p w:rsidR="00A45E83" w:rsidRPr="007326BD" w:rsidRDefault="00A45E83" w:rsidP="00A45E83">
            <w:pPr>
              <w:spacing w:after="0" w:line="240" w:lineRule="auto"/>
              <w:jc w:val="both"/>
              <w:rPr>
                <w:rFonts w:ascii="Arial" w:hAnsi="Arial" w:cs="Arial"/>
                <w:sz w:val="24"/>
                <w:szCs w:val="24"/>
              </w:rPr>
            </w:pPr>
          </w:p>
        </w:tc>
      </w:tr>
    </w:tbl>
    <w:p w:rsidR="00A45E83" w:rsidRDefault="00A45E83">
      <w:pPr>
        <w:rPr>
          <w:rFonts w:ascii="Arial" w:hAnsi="Arial" w:cs="Arial"/>
        </w:rPr>
      </w:pPr>
    </w:p>
    <w:p w:rsidR="00937252" w:rsidRDefault="00937252">
      <w:pPr>
        <w:rPr>
          <w:rFonts w:ascii="Arial" w:hAnsi="Arial" w:cs="Arial"/>
        </w:rPr>
      </w:pPr>
    </w:p>
    <w:p w:rsidR="00937252" w:rsidRDefault="00937252">
      <w:pPr>
        <w:rPr>
          <w:rFonts w:ascii="Arial" w:hAnsi="Arial" w:cs="Arial"/>
        </w:rPr>
      </w:pPr>
    </w:p>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3737"/>
        <w:gridCol w:w="1242"/>
        <w:gridCol w:w="3849"/>
      </w:tblGrid>
      <w:tr w:rsidR="00937252" w:rsidRPr="00EB7BF7" w:rsidTr="00937252">
        <w:trPr>
          <w:jc w:val="center"/>
        </w:trPr>
        <w:tc>
          <w:tcPr>
            <w:tcW w:w="3794" w:type="dxa"/>
            <w:shd w:val="clear" w:color="auto" w:fill="auto"/>
          </w:tcPr>
          <w:p w:rsidR="00937252" w:rsidRPr="00EB7BF7" w:rsidRDefault="00003006" w:rsidP="00937252">
            <w:pPr>
              <w:tabs>
                <w:tab w:val="center" w:pos="1789"/>
              </w:tabs>
              <w:rPr>
                <w:rFonts w:ascii="Arial" w:hAnsi="Arial" w:cs="Arial"/>
                <w:b/>
                <w:sz w:val="20"/>
              </w:rPr>
            </w:pPr>
            <w:r w:rsidRPr="00EB7BF7">
              <w:rPr>
                <w:rFonts w:ascii="Arial" w:hAnsi="Arial" w:cs="Arial"/>
                <w:b/>
                <w:noProof/>
                <w:lang w:eastAsia="es-MX"/>
              </w:rPr>
              <mc:AlternateContent>
                <mc:Choice Requires="wps">
                  <w:drawing>
                    <wp:anchor distT="0" distB="0" distL="114300" distR="114300" simplePos="0" relativeHeight="251657216" behindDoc="0" locked="0" layoutInCell="1" allowOverlap="1">
                      <wp:simplePos x="0" y="0"/>
                      <wp:positionH relativeFrom="column">
                        <wp:posOffset>-22860</wp:posOffset>
                      </wp:positionH>
                      <wp:positionV relativeFrom="paragraph">
                        <wp:posOffset>259715</wp:posOffset>
                      </wp:positionV>
                      <wp:extent cx="2295525" cy="0"/>
                      <wp:effectExtent l="5080" t="5080" r="13970" b="13970"/>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A2F7FCB" id="_x0000_t32" coordsize="21600,21600" o:spt="32" o:oned="t" path="m,l21600,21600e" filled="f">
                      <v:path arrowok="t" fillok="f" o:connecttype="none"/>
                      <o:lock v:ext="edit" shapetype="t"/>
                    </v:shapetype>
                    <v:shape id="AutoShape 2" o:spid="_x0000_s1026" type="#_x0000_t32" style="position:absolute;margin-left:-1.8pt;margin-top:20.45pt;width:180.7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"/>
                  </w:pict>
                </mc:Fallback>
              </mc:AlternateContent>
            </w:r>
            <w:r w:rsidR="00937252">
              <w:rPr>
                <w:rFonts w:ascii="Arial" w:hAnsi="Arial" w:cs="Arial"/>
                <w:b/>
                <w:sz w:val="20"/>
              </w:rPr>
              <w:tab/>
            </w:r>
          </w:p>
        </w:tc>
        <w:tc>
          <w:tcPr>
            <w:tcW w:w="1276" w:type="dxa"/>
            <w:shd w:val="clear" w:color="auto" w:fill="auto"/>
          </w:tcPr>
          <w:p w:rsidR="00937252" w:rsidRPr="00EB7BF7" w:rsidRDefault="00937252" w:rsidP="00937252">
            <w:pPr>
              <w:rPr>
                <w:rFonts w:ascii="Arial" w:hAnsi="Arial" w:cs="Arial"/>
                <w:b/>
                <w:sz w:val="20"/>
              </w:rPr>
            </w:pPr>
          </w:p>
        </w:tc>
        <w:tc>
          <w:tcPr>
            <w:tcW w:w="3908" w:type="dxa"/>
            <w:shd w:val="clear" w:color="auto" w:fill="auto"/>
          </w:tcPr>
          <w:p w:rsidR="00937252" w:rsidRPr="00EB7BF7" w:rsidRDefault="00003006" w:rsidP="00937252">
            <w:pPr>
              <w:tabs>
                <w:tab w:val="center" w:pos="1846"/>
              </w:tabs>
              <w:rPr>
                <w:rFonts w:ascii="Arial" w:hAnsi="Arial" w:cs="Arial"/>
                <w:b/>
                <w:sz w:val="20"/>
              </w:rPr>
            </w:pPr>
            <w:r w:rsidRPr="00EB7BF7">
              <w:rPr>
                <w:rFonts w:ascii="Arial" w:hAnsi="Arial" w:cs="Arial"/>
                <w:b/>
                <w:noProof/>
                <w:lang w:eastAsia="es-MX"/>
              </w:rPr>
              <mc:AlternateContent>
                <mc:Choice Requires="wps">
                  <w:drawing>
                    <wp:anchor distT="0" distB="0" distL="114300" distR="114300" simplePos="0" relativeHeight="251658240" behindDoc="0" locked="0" layoutInCell="1" allowOverlap="1">
                      <wp:simplePos x="0" y="0"/>
                      <wp:positionH relativeFrom="column">
                        <wp:posOffset>15240</wp:posOffset>
                      </wp:positionH>
                      <wp:positionV relativeFrom="paragraph">
                        <wp:posOffset>259715</wp:posOffset>
                      </wp:positionV>
                      <wp:extent cx="2295525" cy="0"/>
                      <wp:effectExtent l="5080" t="5080" r="13970" b="13970"/>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5DF277" id="AutoShape 3" o:spid="_x0000_s1026" type="#_x0000_t32" style="position:absolute;margin-left:1.2pt;margin-top:20.45pt;width:180.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"/>
                  </w:pict>
                </mc:Fallback>
              </mc:AlternateContent>
            </w:r>
            <w:r w:rsidR="00937252">
              <w:rPr>
                <w:rFonts w:ascii="Arial" w:hAnsi="Arial" w:cs="Arial"/>
                <w:b/>
                <w:sz w:val="20"/>
              </w:rPr>
              <w:tab/>
            </w:r>
          </w:p>
        </w:tc>
      </w:tr>
      <w:tr w:rsidR="00937252" w:rsidRPr="00EB7BF7" w:rsidTr="00937252">
        <w:trPr>
          <w:jc w:val="center"/>
        </w:trPr>
        <w:tc>
          <w:tcPr>
            <w:tcW w:w="3794" w:type="dxa"/>
            <w:shd w:val="clear" w:color="auto" w:fill="auto"/>
          </w:tcPr>
          <w:p w:rsidR="00937252" w:rsidRPr="00EB7BF7" w:rsidRDefault="00351E69" w:rsidP="00937252">
            <w:pPr>
              <w:jc w:val="center"/>
              <w:rPr>
                <w:rFonts w:ascii="Arial" w:hAnsi="Arial" w:cs="Arial"/>
                <w:b/>
                <w:sz w:val="20"/>
              </w:rPr>
            </w:pPr>
            <w:bookmarkStart w:id="3" w:name="firma1"/>
            <w:bookmarkEnd w:id="3"/>
            <w:r>
              <w:rPr>
                <w:rFonts w:ascii="Arial" w:hAnsi="Arial" w:cs="Arial"/>
                <w:b/>
                <w:sz w:val="20"/>
              </w:rPr>
              <w:t>ING. RAÚL EVERARDO GUTIÉRREZ CASTAÑEDA</w:t>
            </w:r>
          </w:p>
          <w:p w:rsidR="00937252" w:rsidRPr="00EB7BF7" w:rsidRDefault="00351E69" w:rsidP="00937252">
            <w:pPr>
              <w:jc w:val="center"/>
              <w:rPr>
                <w:rFonts w:ascii="Arial" w:hAnsi="Arial" w:cs="Arial"/>
                <w:b/>
                <w:sz w:val="20"/>
              </w:rPr>
            </w:pPr>
            <w:bookmarkStart w:id="4" w:name="Cargo1"/>
            <w:bookmarkEnd w:id="4"/>
            <w:r>
              <w:rPr>
                <w:rFonts w:ascii="Arial" w:hAnsi="Arial" w:cs="Arial"/>
                <w:b/>
                <w:sz w:val="20"/>
              </w:rPr>
              <w:t>PRESIDENTE MUNICIPAL</w:t>
            </w:r>
          </w:p>
        </w:tc>
        <w:tc>
          <w:tcPr>
            <w:tcW w:w="1276" w:type="dxa"/>
            <w:shd w:val="clear" w:color="auto" w:fill="auto"/>
          </w:tcPr>
          <w:p w:rsidR="00937252" w:rsidRPr="00EB7BF7" w:rsidRDefault="00937252" w:rsidP="00937252">
            <w:pPr>
              <w:rPr>
                <w:rFonts w:ascii="Arial" w:hAnsi="Arial" w:cs="Arial"/>
                <w:b/>
                <w:sz w:val="20"/>
              </w:rPr>
            </w:pPr>
          </w:p>
        </w:tc>
        <w:tc>
          <w:tcPr>
            <w:tcW w:w="3908" w:type="dxa"/>
            <w:shd w:val="clear" w:color="auto" w:fill="auto"/>
          </w:tcPr>
          <w:p w:rsidR="00937252" w:rsidRPr="00EB7BF7" w:rsidRDefault="00351E69" w:rsidP="00937252">
            <w:pPr>
              <w:jc w:val="center"/>
              <w:rPr>
                <w:rFonts w:ascii="Arial" w:hAnsi="Arial" w:cs="Arial"/>
                <w:b/>
                <w:sz w:val="20"/>
              </w:rPr>
            </w:pPr>
            <w:bookmarkStart w:id="5" w:name="firma2"/>
            <w:bookmarkEnd w:id="5"/>
            <w:r>
              <w:rPr>
                <w:rFonts w:ascii="Arial" w:hAnsi="Arial" w:cs="Arial"/>
                <w:b/>
                <w:sz w:val="20"/>
              </w:rPr>
              <w:t>MTRO. ARNOLDO SOLÓRZANO CUEVAS</w:t>
            </w:r>
          </w:p>
          <w:p w:rsidR="00937252" w:rsidRPr="00EB7BF7" w:rsidRDefault="00351E69" w:rsidP="00937252">
            <w:pPr>
              <w:jc w:val="center"/>
              <w:rPr>
                <w:rFonts w:ascii="Arial" w:hAnsi="Arial" w:cs="Arial"/>
                <w:b/>
                <w:sz w:val="20"/>
              </w:rPr>
            </w:pPr>
            <w:bookmarkStart w:id="6" w:name="Cargo2"/>
            <w:bookmarkEnd w:id="6"/>
            <w:r>
              <w:rPr>
                <w:rFonts w:ascii="Arial" w:hAnsi="Arial" w:cs="Arial"/>
                <w:b/>
                <w:sz w:val="20"/>
              </w:rPr>
              <w:t>TESORERO MUNICIPAL</w:t>
            </w:r>
          </w:p>
        </w:tc>
      </w:tr>
    </w:tbl>
    <w:p w:rsidR="00937252" w:rsidRDefault="00937252" w:rsidP="00937252">
      <w:pPr>
        <w:rPr>
          <w:rFonts w:ascii="Arial" w:hAnsi="Arial" w:cs="Arial"/>
          <w:sz w:val="20"/>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8828"/>
      </w:tblGrid>
      <w:tr w:rsidR="00937252" w:rsidRPr="00721735" w:rsidTr="00937252">
        <w:tc>
          <w:tcPr>
            <w:tcW w:w="8978" w:type="dxa"/>
            <w:shd w:val="clear" w:color="auto" w:fill="auto"/>
          </w:tcPr>
          <w:p w:rsidR="00937252" w:rsidRPr="00721735" w:rsidRDefault="00351E69" w:rsidP="00937252">
            <w:pPr>
              <w:jc w:val="center"/>
              <w:rPr>
                <w:rFonts w:ascii="C39HrP24DhTt" w:hAnsi="C39HrP24DhTt" w:cs="Arial"/>
                <w:sz w:val="44"/>
                <w:szCs w:val="44"/>
              </w:rPr>
            </w:pPr>
            <w:bookmarkStart w:id="7" w:name="codigo"/>
            <w:bookmarkEnd w:id="7"/>
            <w:r>
              <w:rPr>
                <w:rFonts w:ascii="C39HrP24DhTt" w:hAnsi="C39HrP24DhTt" w:cs="Arial"/>
                <w:sz w:val="44"/>
                <w:szCs w:val="44"/>
              </w:rPr>
              <w:t>ASEJ2022-16-19-08-2023-1</w:t>
            </w:r>
          </w:p>
        </w:tc>
      </w:tr>
    </w:tbl>
    <w:p w:rsidR="00937252" w:rsidRDefault="00937252" w:rsidP="00937252">
      <w:pPr>
        <w:rPr>
          <w:rFonts w:ascii="Arial" w:hAnsi="Arial" w:cs="Arial"/>
          <w:sz w:val="20"/>
        </w:rPr>
      </w:pPr>
    </w:p>
    <w:p w:rsidR="00937252" w:rsidRPr="00B157EC" w:rsidRDefault="00937252" w:rsidP="00937252">
      <w:pPr>
        <w:rPr>
          <w:rFonts w:ascii="Arial" w:hAnsi="Arial" w:cs="Arial"/>
          <w:sz w:val="24"/>
          <w:szCs w:val="24"/>
        </w:rPr>
      </w:pPr>
      <w:r w:rsidRPr="00B157EC">
        <w:rPr>
          <w:rFonts w:ascii="Arial" w:hAnsi="Arial" w:cs="Arial"/>
          <w:sz w:val="24"/>
          <w:szCs w:val="24"/>
        </w:rPr>
        <w:t>Bajo protesta de decir verdad declaramos que los Estados Financieros y sus Notas son razonablemente correctos y responsabilidad del emisor.</w:t>
      </w:r>
    </w:p>
    <w:p w:rsidR="00937252" w:rsidRPr="007326BD" w:rsidRDefault="00937252">
      <w:pPr>
        <w:rPr>
          <w:rFonts w:ascii="Arial" w:hAnsi="Arial" w:cs="Arial"/>
        </w:rPr>
      </w:pPr>
    </w:p>
    <w:sectPr w:rsidR="00937252" w:rsidRPr="007326BD" w:rsidSect="0080660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39HrP24DhTt">
    <w:panose1 w:val="00000000000000000000"/>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5E83"/>
    <w:rsid w:val="00003006"/>
    <w:rsid w:val="00351E69"/>
    <w:rsid w:val="007326BD"/>
    <w:rsid w:val="00806603"/>
    <w:rsid w:val="00937252"/>
    <w:rsid w:val="00A45E83"/>
    <w:rsid w:val="00C6688B"/>
    <w:rsid w:val="00F279B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64FABF-BCFA-4CF0-8414-D8B67EA18C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603"/>
    <w:pPr>
      <w:spacing w:after="200" w:line="276" w:lineRule="auto"/>
    </w:pPr>
    <w:rPr>
      <w:sz w:val="22"/>
      <w:szCs w:val="22"/>
      <w:lang w:eastAsia="en-US"/>
    </w:rPr>
  </w:style>
  <w:style w:type="paragraph" w:styleId="Ttulo1">
    <w:name w:val="heading 1"/>
    <w:basedOn w:val="Normal"/>
    <w:next w:val="Normal"/>
    <w:link w:val="Ttulo1Car"/>
    <w:uiPriority w:val="99"/>
    <w:qFormat/>
    <w:rsid w:val="00351E69"/>
    <w:pPr>
      <w:autoSpaceDE w:val="0"/>
      <w:autoSpaceDN w:val="0"/>
      <w:adjustRightInd w:val="0"/>
      <w:spacing w:after="0" w:line="240" w:lineRule="auto"/>
      <w:outlineLvl w:val="0"/>
    </w:pPr>
    <w:rPr>
      <w:rFonts w:ascii="Times New Roman" w:hAnsi="Times New Roman"/>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45E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9"/>
    <w:rsid w:val="00351E69"/>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1267</Words>
  <Characters>6973</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ISC Heriberto Ocaña Navarro</dc:creator>
  <cp:keywords/>
  <cp:lastModifiedBy>A SC</cp:lastModifiedBy>
  <cp:revision>4</cp:revision>
  <dcterms:created xsi:type="dcterms:W3CDTF">2020-05-27T16:09:00Z</dcterms:created>
  <dcterms:modified xsi:type="dcterms:W3CDTF">2023-08-20T00:34:00Z</dcterms:modified>
</cp:coreProperties>
</file>