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A45E83" w:rsidRPr="007326BD" w:rsidRDefault="00A45E83" w:rsidP="00A45E83">
            <w:pPr>
              <w:spacing w:after="0" w:line="240" w:lineRule="auto"/>
              <w:jc w:val="center"/>
              <w:rPr>
                <w:rFonts w:ascii="Arial" w:hAnsi="Arial" w:cs="Arial"/>
                <w:b/>
                <w:sz w:val="28"/>
                <w:szCs w:val="28"/>
              </w:rPr>
            </w:pPr>
            <w:bookmarkStart w:id="0" w:name="_GoBack"/>
            <w:bookmarkEnd w:id="0"/>
            <w:r w:rsidRPr="007326BD">
              <w:rPr>
                <w:rFonts w:ascii="Arial" w:hAnsi="Arial" w:cs="Arial"/>
                <w:b/>
                <w:sz w:val="28"/>
                <w:szCs w:val="28"/>
              </w:rPr>
              <w:t>EVALUACIÓN DE PROGRAMAS</w:t>
            </w:r>
          </w:p>
          <w:p w:rsidR="00A45E83" w:rsidRPr="00C6688B" w:rsidRDefault="0070271D" w:rsidP="00A45E83">
            <w:pPr>
              <w:spacing w:after="0" w:line="240" w:lineRule="auto"/>
              <w:jc w:val="center"/>
              <w:rPr>
                <w:rFonts w:ascii="Arial" w:hAnsi="Arial" w:cs="Arial"/>
                <w:b/>
                <w:sz w:val="28"/>
                <w:szCs w:val="28"/>
              </w:rPr>
            </w:pPr>
            <w:bookmarkStart w:id="1" w:name="ente"/>
            <w:bookmarkEnd w:id="1"/>
            <w:r>
              <w:rPr>
                <w:rFonts w:ascii="Arial" w:hAnsi="Arial" w:cs="Arial"/>
                <w:b/>
                <w:sz w:val="28"/>
                <w:szCs w:val="28"/>
              </w:rPr>
              <w:t>MUNICIPIO TAMAZULA DE GORDIANO</w:t>
            </w:r>
          </w:p>
          <w:p w:rsidR="00A45E83" w:rsidRPr="00C6688B" w:rsidRDefault="0070271D" w:rsidP="00A45E83">
            <w:pPr>
              <w:spacing w:after="0" w:line="240" w:lineRule="auto"/>
              <w:jc w:val="center"/>
              <w:rPr>
                <w:rFonts w:ascii="Arial" w:hAnsi="Arial" w:cs="Arial"/>
                <w:b/>
                <w:sz w:val="28"/>
                <w:szCs w:val="28"/>
              </w:rPr>
            </w:pPr>
            <w:bookmarkStart w:id="2" w:name="periodo"/>
            <w:bookmarkEnd w:id="2"/>
            <w:r>
              <w:rPr>
                <w:rFonts w:ascii="Arial" w:hAnsi="Arial" w:cs="Arial"/>
                <w:b/>
                <w:sz w:val="28"/>
                <w:szCs w:val="28"/>
              </w:rPr>
              <w:t>PRIMER AVANCE DE GESTION FINANCIERA - 1 DE ENERO AL 30 DE JUNIO DE 2020</w:t>
            </w:r>
          </w:p>
        </w:tc>
      </w:tr>
    </w:tbl>
    <w:p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70271D" w:rsidRDefault="0070271D" w:rsidP="0070271D">
            <w:pPr>
              <w:rPr>
                <w:rFonts w:cs="Calibri"/>
              </w:rPr>
            </w:pPr>
            <w:bookmarkStart w:id="3" w:name="cuerpo"/>
            <w:bookmarkEnd w:id="3"/>
          </w:p>
          <w:p w:rsidR="0070271D" w:rsidRDefault="0070271D" w:rsidP="0070271D">
            <w:pPr>
              <w:spacing w:before="120"/>
              <w:rPr>
                <w:rFonts w:ascii="Arial" w:hAnsi="Arial" w:cs="Arial"/>
                <w:b/>
                <w:bCs/>
                <w:color w:val="404040"/>
                <w:sz w:val="48"/>
                <w:szCs w:val="48"/>
              </w:rPr>
            </w:pPr>
            <w:r>
              <w:rPr>
                <w:rFonts w:ascii="Arial" w:hAnsi="Arial" w:cs="Arial"/>
                <w:noProof/>
                <w:sz w:val="23"/>
                <w:szCs w:val="23"/>
                <w:lang w:eastAsia="es-MX"/>
              </w:rPr>
              <w:drawing>
                <wp:inline distT="0" distB="0" distL="0" distR="0">
                  <wp:extent cx="1666875" cy="1895475"/>
                  <wp:effectExtent l="0" t="0" r="9525"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66875" cy="1895475"/>
                          </a:xfrm>
                          <a:prstGeom prst="rect">
                            <a:avLst/>
                          </a:prstGeom>
                          <a:noFill/>
                          <a:ln>
                            <a:noFill/>
                          </a:ln>
                        </pic:spPr>
                      </pic:pic>
                    </a:graphicData>
                  </a:graphic>
                </wp:inline>
              </w:drawing>
            </w:r>
            <w:r>
              <w:rPr>
                <w:rFonts w:ascii="Arial" w:hAnsi="Arial" w:cs="Arial"/>
                <w:b/>
                <w:bCs/>
                <w:color w:val="404040"/>
                <w:sz w:val="48"/>
                <w:szCs w:val="48"/>
              </w:rPr>
              <w:t>Informe de Avances de Gestión Financiera</w:t>
            </w:r>
          </w:p>
          <w:p w:rsidR="0070271D" w:rsidRDefault="0070271D" w:rsidP="0070271D">
            <w:pPr>
              <w:spacing w:before="120"/>
              <w:rPr>
                <w:rFonts w:ascii="Arial" w:hAnsi="Arial" w:cs="Arial"/>
                <w:color w:val="404040"/>
                <w:sz w:val="40"/>
                <w:szCs w:val="40"/>
              </w:rPr>
            </w:pPr>
            <w:r>
              <w:rPr>
                <w:rFonts w:ascii="Arial" w:hAnsi="Arial" w:cs="Arial"/>
                <w:color w:val="404040"/>
                <w:sz w:val="40"/>
                <w:szCs w:val="40"/>
              </w:rPr>
              <w:t>2020</w:t>
            </w:r>
          </w:p>
          <w:p w:rsidR="0070271D" w:rsidRDefault="0070271D" w:rsidP="0070271D">
            <w:pPr>
              <w:spacing w:before="120"/>
              <w:rPr>
                <w:rFonts w:ascii="Arial" w:hAnsi="Arial" w:cs="Arial"/>
                <w:color w:val="404040"/>
                <w:sz w:val="28"/>
                <w:szCs w:val="28"/>
              </w:rPr>
            </w:pPr>
            <w:r>
              <w:rPr>
                <w:rFonts w:ascii="Arial" w:hAnsi="Arial" w:cs="Arial"/>
                <w:i/>
                <w:iCs/>
                <w:color w:val="404040"/>
                <w:sz w:val="36"/>
                <w:szCs w:val="36"/>
              </w:rPr>
              <w:t>Evaluación de Programas</w:t>
            </w:r>
          </w:p>
          <w:p w:rsidR="0070271D" w:rsidRDefault="0070271D" w:rsidP="0070271D">
            <w:pPr>
              <w:rPr>
                <w:rFonts w:ascii="Arial" w:hAnsi="Arial" w:cs="Arial"/>
                <w:sz w:val="28"/>
                <w:szCs w:val="28"/>
              </w:rPr>
            </w:pPr>
            <w:r>
              <w:rPr>
                <w:rFonts w:ascii="Arial" w:hAnsi="Arial" w:cs="Arial"/>
                <w:sz w:val="28"/>
                <w:szCs w:val="28"/>
              </w:rPr>
              <w:t>Municipio de Tamazula de Gordiano, Jalisco</w:t>
            </w:r>
          </w:p>
          <w:p w:rsidR="0070271D" w:rsidRDefault="0070271D" w:rsidP="0070271D">
            <w:pPr>
              <w:spacing w:before="120"/>
              <w:rPr>
                <w:rFonts w:ascii="Arial" w:hAnsi="Arial" w:cs="Arial"/>
                <w:sz w:val="28"/>
                <w:szCs w:val="28"/>
              </w:rPr>
            </w:pPr>
            <w:r>
              <w:rPr>
                <w:rFonts w:ascii="Arial" w:hAnsi="Arial" w:cs="Arial"/>
                <w:sz w:val="28"/>
                <w:szCs w:val="28"/>
              </w:rPr>
              <w:t>Primer Avance, al 30 de junio de 2020</w:t>
            </w:r>
          </w:p>
          <w:p w:rsidR="0070271D" w:rsidRDefault="0070271D" w:rsidP="0070271D">
            <w:pPr>
              <w:rPr>
                <w:rFonts w:ascii="Times New Roman" w:hAnsi="Times New Roman"/>
              </w:rPr>
            </w:pPr>
            <w:r>
              <w:rPr>
                <w:rFonts w:ascii="Arial" w:hAnsi="Arial" w:cs="Arial"/>
                <w:color w:val="404040"/>
                <w:sz w:val="28"/>
                <w:szCs w:val="28"/>
              </w:rPr>
              <w:t>30/06/2020</w:t>
            </w:r>
            <w:r>
              <w:rPr>
                <w:rFonts w:ascii="Times New Roman" w:hAnsi="Times New Roman"/>
              </w:rPr>
              <w:br w:type="page"/>
            </w:r>
          </w:p>
          <w:p w:rsidR="0070271D" w:rsidRDefault="0070271D" w:rsidP="0070271D">
            <w:pPr>
              <w:spacing w:after="120"/>
              <w:rPr>
                <w:rFonts w:ascii="Arial" w:hAnsi="Arial" w:cs="Arial"/>
                <w:sz w:val="28"/>
                <w:szCs w:val="28"/>
              </w:rPr>
            </w:pPr>
          </w:p>
          <w:p w:rsidR="0070271D" w:rsidRDefault="0070271D" w:rsidP="0070271D">
            <w:pPr>
              <w:pStyle w:val="Ttulo1"/>
              <w:keepNext/>
              <w:keepLines/>
              <w:spacing w:before="240" w:line="276" w:lineRule="auto"/>
              <w:rPr>
                <w:rFonts w:ascii="Calibri Light" w:hAnsi="Calibri Light" w:cs="Calibri Light"/>
                <w:color w:val="2E74B5"/>
                <w:sz w:val="32"/>
                <w:szCs w:val="32"/>
                <w:lang w:val="es-MX"/>
              </w:rPr>
            </w:pPr>
            <w:r>
              <w:rPr>
                <w:rFonts w:ascii="Calibri Light" w:hAnsi="Calibri Light" w:cs="Calibri Light"/>
                <w:color w:val="2E74B5"/>
                <w:sz w:val="32"/>
                <w:szCs w:val="32"/>
                <w:lang w:val="es-MX"/>
              </w:rPr>
              <w:t>INTRODUCCIÓN</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De acuerdo a los lineamientos establecidos en la ley de fiscalización superior y rendición de cuentas del estado de Jalisco y sus municipios, en su artículo 37 numeral 1 fracción IV se da cumplimiento a la evaluación de programas del primer avance de informes de gestión financiera.</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spacing w:after="120"/>
              <w:rPr>
                <w:rFonts w:ascii="Arial" w:hAnsi="Arial" w:cs="Arial"/>
                <w:sz w:val="28"/>
                <w:szCs w:val="28"/>
              </w:rPr>
            </w:pPr>
          </w:p>
          <w:p w:rsidR="0070271D" w:rsidRDefault="0070271D" w:rsidP="0070271D">
            <w:pPr>
              <w:pStyle w:val="Ttulo1"/>
              <w:keepNext/>
              <w:keepLines/>
              <w:spacing w:before="240" w:line="276" w:lineRule="auto"/>
              <w:rPr>
                <w:rFonts w:ascii="Times New Roman" w:hAnsi="Times New Roman"/>
                <w:color w:val="2E74B5"/>
                <w:sz w:val="32"/>
                <w:szCs w:val="32"/>
                <w:lang w:val="es-MX"/>
              </w:rPr>
            </w:pPr>
            <w:r>
              <w:rPr>
                <w:rFonts w:ascii="Calibri Light" w:hAnsi="Calibri Light" w:cs="Calibri Light"/>
                <w:color w:val="2E74B5"/>
                <w:sz w:val="32"/>
                <w:szCs w:val="32"/>
                <w:lang w:val="es-MX"/>
              </w:rPr>
              <w:t>RESULTADOS DE LA GESTIÓN</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Redacte en este apartado una narrativa que describa el cumplimiento de las metas y objetivos que reportó en el formato de Indicadores de Desempeño (SID, o formato 13). En dicho formato se reporta el cumplimiento de metas de los Programas que tienen una MIR y los que no la tienen; por ello se sugiere que este apartado cuente al menos con dos secciones, una cada grupo de programas. Además, es recomendable reportar el avance en el cumplimiento de los objetivos de desarrollo, en caso de que su instrumento de planeación municipal cuente con indicadores.</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Programas con Matrices de Indicadores para Resultados</w:t>
            </w:r>
            <w:r>
              <w:rPr>
                <w:rFonts w:cs="Calibri"/>
                <w:color w:val="808080"/>
              </w:rPr>
              <w:t xml:space="preserve"> </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fornian FB" w:hAnsi="Californian FB" w:cs="Californian FB"/>
                <w:color w:val="000000"/>
                <w:sz w:val="18"/>
                <w:szCs w:val="18"/>
              </w:rPr>
              <w:t>Administrar la Hacienda Pública Municipal avance: 45/100</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(sin MIR)</w:t>
            </w:r>
          </w:p>
          <w:p w:rsidR="0070271D" w:rsidRDefault="0070271D" w:rsidP="0070271D">
            <w:pPr>
              <w:rPr>
                <w:rFonts w:cs="Calibri"/>
              </w:rPr>
            </w:pPr>
            <w:r>
              <w:rPr>
                <w:rFonts w:cs="Calibri"/>
              </w:rPr>
              <w:t>Tamazula Activo avance: 33/100</w:t>
            </w:r>
          </w:p>
          <w:p w:rsidR="0070271D" w:rsidRDefault="0070271D" w:rsidP="0070271D">
            <w:pPr>
              <w:rPr>
                <w:rFonts w:cs="Calibri"/>
              </w:rPr>
            </w:pPr>
            <w:r>
              <w:rPr>
                <w:rFonts w:cs="Calibri"/>
              </w:rPr>
              <w:t>Atención Ciudadana avance: 3/100</w:t>
            </w:r>
          </w:p>
          <w:p w:rsidR="0070271D" w:rsidRDefault="0070271D" w:rsidP="0070271D">
            <w:pPr>
              <w:rPr>
                <w:rFonts w:cs="Calibri"/>
              </w:rPr>
            </w:pPr>
            <w:r>
              <w:rPr>
                <w:rFonts w:cs="Calibri"/>
              </w:rPr>
              <w:t>Tamazula Incluyente avance: 2/100</w:t>
            </w:r>
          </w:p>
          <w:p w:rsidR="0070271D" w:rsidRDefault="0070271D" w:rsidP="0070271D">
            <w:pPr>
              <w:rPr>
                <w:rFonts w:cs="Calibri"/>
              </w:rPr>
            </w:pPr>
            <w:r>
              <w:rPr>
                <w:rFonts w:cs="Calibri"/>
              </w:rPr>
              <w:t>Actualización Del Patrimonio Municipal avance: 32/100</w:t>
            </w:r>
          </w:p>
          <w:p w:rsidR="0070271D" w:rsidRDefault="0070271D" w:rsidP="0070271D">
            <w:pPr>
              <w:rPr>
                <w:rFonts w:cs="Calibri"/>
              </w:rPr>
            </w:pPr>
            <w:r>
              <w:rPr>
                <w:rFonts w:cs="Calibri"/>
              </w:rPr>
              <w:t>Jurídico Municipal avance: 29/100</w:t>
            </w:r>
          </w:p>
          <w:p w:rsidR="0070271D" w:rsidRDefault="0070271D" w:rsidP="0070271D">
            <w:pPr>
              <w:rPr>
                <w:rFonts w:cs="Calibri"/>
              </w:rPr>
            </w:pPr>
            <w:r>
              <w:rPr>
                <w:rFonts w:cs="Calibri"/>
              </w:rPr>
              <w:t>Museo Hermanos Zaizar avance: 0/100</w:t>
            </w:r>
          </w:p>
          <w:p w:rsidR="0070271D" w:rsidRDefault="0070271D" w:rsidP="0070271D">
            <w:pPr>
              <w:rPr>
                <w:rFonts w:cs="Calibri"/>
              </w:rPr>
            </w:pPr>
            <w:r>
              <w:rPr>
                <w:rFonts w:cs="Calibri"/>
              </w:rPr>
              <w:t>Fomento Ganadero avance: 46/100</w:t>
            </w:r>
          </w:p>
          <w:p w:rsidR="0070271D" w:rsidRDefault="0070271D" w:rsidP="0070271D">
            <w:pPr>
              <w:rPr>
                <w:rFonts w:cs="Calibri"/>
              </w:rPr>
            </w:pPr>
            <w:r>
              <w:rPr>
                <w:rFonts w:cs="Calibri"/>
              </w:rPr>
              <w:t>Tecnologías De La Información Y Sistemas avance: 44/100</w:t>
            </w:r>
          </w:p>
          <w:p w:rsidR="0070271D" w:rsidRDefault="0070271D" w:rsidP="0070271D">
            <w:pPr>
              <w:rPr>
                <w:rFonts w:cs="Calibri"/>
              </w:rPr>
            </w:pPr>
            <w:r>
              <w:rPr>
                <w:rFonts w:cs="Calibri"/>
              </w:rPr>
              <w:t>Promoción Y Fomento Del Turismo avance: 38/100</w:t>
            </w:r>
          </w:p>
          <w:p w:rsidR="0070271D" w:rsidRDefault="0070271D" w:rsidP="0070271D">
            <w:pPr>
              <w:rPr>
                <w:rFonts w:cs="Calibri"/>
              </w:rPr>
            </w:pPr>
            <w:r>
              <w:rPr>
                <w:rFonts w:cs="Calibri"/>
              </w:rPr>
              <w:t>Alumbrado Público avance: 44/100</w:t>
            </w:r>
          </w:p>
          <w:p w:rsidR="0070271D" w:rsidRDefault="0070271D" w:rsidP="0070271D">
            <w:pPr>
              <w:rPr>
                <w:rFonts w:cs="Calibri"/>
              </w:rPr>
            </w:pPr>
            <w:r>
              <w:rPr>
                <w:rFonts w:cs="Calibri"/>
              </w:rPr>
              <w:t>Apoyo A La Educación avance: 28/100</w:t>
            </w:r>
          </w:p>
          <w:p w:rsidR="0070271D" w:rsidRDefault="0070271D" w:rsidP="0070271D">
            <w:pPr>
              <w:rPr>
                <w:rFonts w:cs="Calibri"/>
              </w:rPr>
            </w:pPr>
            <w:r>
              <w:rPr>
                <w:rFonts w:cs="Calibri"/>
              </w:rPr>
              <w:t>Participación Ciudadana avance: 0/100</w:t>
            </w:r>
          </w:p>
          <w:p w:rsidR="0070271D" w:rsidRDefault="0070271D" w:rsidP="0070271D">
            <w:pPr>
              <w:rPr>
                <w:rFonts w:cs="Calibri"/>
              </w:rPr>
            </w:pPr>
            <w:r>
              <w:rPr>
                <w:rFonts w:cs="Calibri"/>
              </w:rPr>
              <w:t>Agenda Para El Desarrollo Municipal avance: 0/100</w:t>
            </w:r>
          </w:p>
          <w:p w:rsidR="0070271D" w:rsidRDefault="0070271D" w:rsidP="0070271D">
            <w:pPr>
              <w:rPr>
                <w:rFonts w:cs="Calibri"/>
              </w:rPr>
            </w:pPr>
            <w:r>
              <w:rPr>
                <w:rFonts w:cs="Calibri"/>
              </w:rPr>
              <w:t>Vivero Municipal avance: 0/100</w:t>
            </w:r>
          </w:p>
          <w:p w:rsidR="0070271D" w:rsidRDefault="0070271D" w:rsidP="0070271D">
            <w:pPr>
              <w:rPr>
                <w:rFonts w:cs="Calibri"/>
              </w:rPr>
            </w:pPr>
            <w:r>
              <w:rPr>
                <w:rFonts w:cs="Calibri"/>
              </w:rPr>
              <w:t>Disposiciones De Residuos Sólidos avance: 0/100</w:t>
            </w:r>
          </w:p>
          <w:p w:rsidR="0070271D" w:rsidRDefault="0070271D" w:rsidP="0070271D">
            <w:pPr>
              <w:rPr>
                <w:rFonts w:cs="Calibri"/>
              </w:rPr>
            </w:pPr>
            <w:r>
              <w:rPr>
                <w:rFonts w:cs="Calibri"/>
              </w:rPr>
              <w:t>Cerro De La Mesa avance: 0/100</w:t>
            </w:r>
          </w:p>
          <w:p w:rsidR="0070271D" w:rsidRDefault="0070271D" w:rsidP="0070271D">
            <w:pPr>
              <w:rPr>
                <w:rFonts w:cs="Calibri"/>
              </w:rPr>
            </w:pPr>
            <w:r>
              <w:rPr>
                <w:rFonts w:cs="Calibri"/>
              </w:rPr>
              <w:t>Biodigestor avance: 0/100</w:t>
            </w:r>
          </w:p>
          <w:p w:rsidR="0070271D" w:rsidRDefault="0070271D" w:rsidP="0070271D">
            <w:pPr>
              <w:rPr>
                <w:rFonts w:cs="Calibri"/>
              </w:rPr>
            </w:pPr>
            <w:r>
              <w:rPr>
                <w:rFonts w:cs="Calibri"/>
              </w:rPr>
              <w:t>Agua Potable avance: 25/100</w:t>
            </w:r>
          </w:p>
          <w:p w:rsidR="0070271D" w:rsidRDefault="0070271D" w:rsidP="0070271D">
            <w:pPr>
              <w:rPr>
                <w:rFonts w:cs="Calibri"/>
              </w:rPr>
            </w:pPr>
            <w:r>
              <w:rPr>
                <w:rFonts w:cs="Calibri"/>
              </w:rPr>
              <w:t>Fomento Artesanal avance: 46/100</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3. Resultados a partir de indicadores de desarrollo del PMD</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Describa los resultados que se hayan alcanzado en los Indicadores de Desarrollo que se contemplen en su Plan Municipal de Desarrollo. En caso de que el PMD no cuente con Indicadores, puede describir la relación que tienen los objetivos de sus programas con los objetivos de desarrollo contemplados en el PMD</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spacing w:after="120"/>
              <w:rPr>
                <w:rFonts w:ascii="Arial" w:hAnsi="Arial" w:cs="Arial"/>
                <w:sz w:val="28"/>
                <w:szCs w:val="28"/>
              </w:rPr>
            </w:pPr>
          </w:p>
          <w:p w:rsidR="0070271D" w:rsidRDefault="0070271D" w:rsidP="0070271D">
            <w:pPr>
              <w:pStyle w:val="Ttulo1"/>
              <w:keepNext/>
              <w:keepLines/>
              <w:spacing w:before="240" w:line="276" w:lineRule="auto"/>
              <w:rPr>
                <w:rFonts w:ascii="Times New Roman" w:hAnsi="Times New Roman"/>
                <w:color w:val="2E74B5"/>
                <w:sz w:val="32"/>
                <w:szCs w:val="32"/>
                <w:lang w:val="es-MX"/>
              </w:rPr>
            </w:pPr>
            <w:r>
              <w:rPr>
                <w:rFonts w:ascii="Calibri Light" w:hAnsi="Calibri Light" w:cs="Calibri Light"/>
                <w:color w:val="2E74B5"/>
                <w:sz w:val="32"/>
                <w:szCs w:val="32"/>
                <w:lang w:val="es-MX"/>
              </w:rPr>
              <w:t>PROCESOS CONCLUIDOS</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 xml:space="preserve">El artículo 37, numeral 1, establece que los Avances de Gestión Financiera deben contener (fracción III) </w:t>
            </w:r>
            <w:r>
              <w:rPr>
                <w:rFonts w:cs="Calibri"/>
                <w:color w:val="808080"/>
                <w:lang w:val="es-ES"/>
              </w:rPr>
              <w:t xml:space="preserve">los </w:t>
            </w:r>
            <w:r>
              <w:rPr>
                <w:rFonts w:cs="Calibri"/>
                <w:b/>
                <w:bCs/>
                <w:color w:val="808080"/>
                <w:lang w:val="es-ES"/>
              </w:rPr>
              <w:t xml:space="preserve">procesos concluidos </w:t>
            </w:r>
            <w:r>
              <w:rPr>
                <w:rFonts w:cs="Calibri"/>
                <w:color w:val="808080"/>
                <w:lang w:val="es-ES"/>
              </w:rPr>
              <w:t>(Ley de Fiscalización Superior y Rendición de Cuentas para el Estado de Jalisco y sus Municipios)</w:t>
            </w:r>
            <w:r>
              <w:rPr>
                <w:rFonts w:ascii="Times New Roman" w:hAnsi="Times New Roman"/>
                <w:color w:val="808080"/>
              </w:rPr>
              <w:t>.</w:t>
            </w:r>
            <w:r>
              <w:rPr>
                <w:rFonts w:cs="Calibri"/>
                <w:color w:val="808080"/>
              </w:rPr>
              <w:t xml:space="preserve"> Se entiende por “Proceso concluido” aquel caso en el que se cumplieron las metas al 100%, o bien se ejerció el 100% del presupuesto para ese programa. Por ello, en este apartado se tendrá que redactar una narrativa que explique aquellos casos en los que se ha presentado esa situación. La base para esta narrativa es el contenido que se incorporó en el formato de Indicadores de Desempeño (SID, o formato 13).</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Matrices con metas concluidas o presupuesto ejercido</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No aplica para dicho periodo “Proceso concluido”</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con metas concluidas o presupuesto ejercido</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No aplica para dicho periodo “Proceso concluido”</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spacing w:after="120"/>
              <w:rPr>
                <w:rFonts w:ascii="Arial" w:hAnsi="Arial" w:cs="Arial"/>
                <w:sz w:val="28"/>
                <w:szCs w:val="28"/>
              </w:rPr>
            </w:pPr>
          </w:p>
          <w:p w:rsidR="0070271D" w:rsidRDefault="0070271D" w:rsidP="0070271D">
            <w:pPr>
              <w:pStyle w:val="Ttulo1"/>
              <w:keepNext/>
              <w:keepLines/>
              <w:spacing w:before="240" w:line="276" w:lineRule="auto"/>
              <w:rPr>
                <w:rFonts w:ascii="Times New Roman" w:hAnsi="Times New Roman"/>
                <w:color w:val="2E74B5"/>
                <w:sz w:val="32"/>
                <w:szCs w:val="32"/>
                <w:lang w:val="es-MX"/>
              </w:rPr>
            </w:pPr>
            <w:r>
              <w:rPr>
                <w:rFonts w:ascii="Calibri Light" w:hAnsi="Calibri Light" w:cs="Calibri Light"/>
                <w:color w:val="2E74B5"/>
                <w:sz w:val="32"/>
                <w:szCs w:val="32"/>
                <w:lang w:val="es-MX"/>
              </w:rPr>
              <w:t>AVANCES INFERIORES A LAS METAS</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Con la finalidad de comunicar aquellas situaciones que expliquen los rezagos en el cumplimiento de las metas, se sugiere describir en este apartado las razones por las que las metas no se hubieren alcanzado en un periodo específico. Para ello, se podrían considerar justificaciones como las que se incluyen en el catálogo anexo a esta plantilla.</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Matrices con avances por debajo de las metas</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fornian FB" w:hAnsi="Californian FB" w:cs="Californian FB"/>
                <w:color w:val="000000"/>
                <w:sz w:val="18"/>
                <w:szCs w:val="18"/>
              </w:rPr>
              <w:t>Administrar la Hacienda Pública Municipal:</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Times New Roman" w:hAnsi="Times New Roman"/>
                <w:sz w:val="20"/>
                <w:szCs w:val="20"/>
              </w:rPr>
              <w:t xml:space="preserve">Por otras causas que por su naturaleza no es posible agrupar, es decir, cuando se presente una combinación de los factores señalados en los tipos de causas mencionados anteriormente, o causas no previstas; </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con avances por debajo de las metas</w:t>
            </w:r>
          </w:p>
          <w:p w:rsidR="0070271D" w:rsidRDefault="0070271D" w:rsidP="0070271D">
            <w:pPr>
              <w:rPr>
                <w:rFonts w:cs="Calibri"/>
              </w:rPr>
            </w:pPr>
            <w:r>
              <w:rPr>
                <w:rFonts w:cs="Calibri"/>
              </w:rPr>
              <w:t>Tamazula Activo avance: 33/100</w:t>
            </w:r>
          </w:p>
          <w:p w:rsidR="0070271D" w:rsidRDefault="0070271D" w:rsidP="0070271D">
            <w:pPr>
              <w:rPr>
                <w:rFonts w:cs="Calibri"/>
              </w:rPr>
            </w:pPr>
            <w:r>
              <w:rPr>
                <w:rFonts w:cs="Calibri"/>
              </w:rPr>
              <w:t>Atención Ciudadana avance: 3/100</w:t>
            </w:r>
          </w:p>
          <w:p w:rsidR="0070271D" w:rsidRDefault="0070271D" w:rsidP="0070271D">
            <w:pPr>
              <w:rPr>
                <w:rFonts w:cs="Calibri"/>
              </w:rPr>
            </w:pPr>
            <w:r>
              <w:rPr>
                <w:rFonts w:cs="Calibri"/>
              </w:rPr>
              <w:t>Tamazula Incluyente avance: 2/100</w:t>
            </w:r>
          </w:p>
          <w:p w:rsidR="0070271D" w:rsidRDefault="0070271D" w:rsidP="0070271D">
            <w:pPr>
              <w:rPr>
                <w:rFonts w:cs="Calibri"/>
              </w:rPr>
            </w:pPr>
            <w:r>
              <w:rPr>
                <w:rFonts w:cs="Calibri"/>
              </w:rPr>
              <w:t>Actualización Del Patrimonio Municipal avance: 32/100</w:t>
            </w:r>
          </w:p>
          <w:p w:rsidR="0070271D" w:rsidRDefault="0070271D" w:rsidP="0070271D">
            <w:pPr>
              <w:rPr>
                <w:rFonts w:cs="Calibri"/>
              </w:rPr>
            </w:pPr>
            <w:r>
              <w:rPr>
                <w:rFonts w:cs="Calibri"/>
              </w:rPr>
              <w:t>Jurídico Municipal avance: 29/100</w:t>
            </w:r>
          </w:p>
          <w:p w:rsidR="0070271D" w:rsidRDefault="0070271D" w:rsidP="0070271D">
            <w:pPr>
              <w:rPr>
                <w:rFonts w:cs="Calibri"/>
              </w:rPr>
            </w:pPr>
            <w:r>
              <w:rPr>
                <w:rFonts w:cs="Calibri"/>
              </w:rPr>
              <w:t>Museo Hermanos Zaizar avance: 0/100</w:t>
            </w:r>
          </w:p>
          <w:p w:rsidR="0070271D" w:rsidRDefault="0070271D" w:rsidP="0070271D">
            <w:pPr>
              <w:rPr>
                <w:rFonts w:cs="Calibri"/>
              </w:rPr>
            </w:pPr>
            <w:r>
              <w:rPr>
                <w:rFonts w:cs="Calibri"/>
              </w:rPr>
              <w:t>Fomento Ganadero avance: 46/100</w:t>
            </w:r>
          </w:p>
          <w:p w:rsidR="0070271D" w:rsidRDefault="0070271D" w:rsidP="0070271D">
            <w:pPr>
              <w:rPr>
                <w:rFonts w:cs="Calibri"/>
              </w:rPr>
            </w:pPr>
            <w:r>
              <w:rPr>
                <w:rFonts w:cs="Calibri"/>
              </w:rPr>
              <w:t>Tecnologías De La Información Y Sistemas avance: 44/100</w:t>
            </w:r>
          </w:p>
          <w:p w:rsidR="0070271D" w:rsidRDefault="0070271D" w:rsidP="0070271D">
            <w:pPr>
              <w:rPr>
                <w:rFonts w:cs="Calibri"/>
              </w:rPr>
            </w:pPr>
            <w:r>
              <w:rPr>
                <w:rFonts w:cs="Calibri"/>
              </w:rPr>
              <w:t>Promoción Y Fomento Del Turismo avance: 38/100</w:t>
            </w:r>
          </w:p>
          <w:p w:rsidR="0070271D" w:rsidRDefault="0070271D" w:rsidP="0070271D">
            <w:pPr>
              <w:rPr>
                <w:rFonts w:cs="Calibri"/>
              </w:rPr>
            </w:pPr>
            <w:r>
              <w:rPr>
                <w:rFonts w:cs="Calibri"/>
              </w:rPr>
              <w:t>Alumbrado Público avance: 44/100</w:t>
            </w:r>
          </w:p>
          <w:p w:rsidR="0070271D" w:rsidRDefault="0070271D" w:rsidP="0070271D">
            <w:pPr>
              <w:rPr>
                <w:rFonts w:cs="Calibri"/>
              </w:rPr>
            </w:pPr>
            <w:r>
              <w:rPr>
                <w:rFonts w:cs="Calibri"/>
              </w:rPr>
              <w:t>Apoyo A La Educación avance: 28/100</w:t>
            </w:r>
          </w:p>
          <w:p w:rsidR="0070271D" w:rsidRDefault="0070271D" w:rsidP="0070271D">
            <w:pPr>
              <w:rPr>
                <w:rFonts w:cs="Calibri"/>
              </w:rPr>
            </w:pPr>
            <w:r>
              <w:rPr>
                <w:rFonts w:cs="Calibri"/>
              </w:rPr>
              <w:t>Participación Ciudadana avance: 0/100</w:t>
            </w:r>
          </w:p>
          <w:p w:rsidR="0070271D" w:rsidRDefault="0070271D" w:rsidP="0070271D">
            <w:pPr>
              <w:rPr>
                <w:rFonts w:cs="Calibri"/>
              </w:rPr>
            </w:pPr>
            <w:r>
              <w:rPr>
                <w:rFonts w:cs="Calibri"/>
              </w:rPr>
              <w:t>Agenda Para El Desarrollo Municipal avance: 0/100</w:t>
            </w:r>
          </w:p>
          <w:p w:rsidR="0070271D" w:rsidRDefault="0070271D" w:rsidP="0070271D">
            <w:pPr>
              <w:rPr>
                <w:rFonts w:cs="Calibri"/>
              </w:rPr>
            </w:pPr>
            <w:r>
              <w:rPr>
                <w:rFonts w:cs="Calibri"/>
              </w:rPr>
              <w:t>Vivero Municipal avance: 0/100</w:t>
            </w:r>
          </w:p>
          <w:p w:rsidR="0070271D" w:rsidRDefault="0070271D" w:rsidP="0070271D">
            <w:pPr>
              <w:rPr>
                <w:rFonts w:cs="Calibri"/>
              </w:rPr>
            </w:pPr>
            <w:r>
              <w:rPr>
                <w:rFonts w:cs="Calibri"/>
              </w:rPr>
              <w:t>Disposiciones De Residuos Sólidos avance: 0/100</w:t>
            </w:r>
          </w:p>
          <w:p w:rsidR="0070271D" w:rsidRDefault="0070271D" w:rsidP="0070271D">
            <w:pPr>
              <w:rPr>
                <w:rFonts w:cs="Calibri"/>
              </w:rPr>
            </w:pPr>
            <w:r>
              <w:rPr>
                <w:rFonts w:cs="Calibri"/>
              </w:rPr>
              <w:t>Cerro De La Mesa avance: 0/100</w:t>
            </w:r>
          </w:p>
          <w:p w:rsidR="0070271D" w:rsidRDefault="0070271D" w:rsidP="0070271D">
            <w:pPr>
              <w:rPr>
                <w:rFonts w:cs="Calibri"/>
              </w:rPr>
            </w:pPr>
            <w:r>
              <w:rPr>
                <w:rFonts w:cs="Calibri"/>
              </w:rPr>
              <w:t>Biodigestor avance: 0/100</w:t>
            </w:r>
          </w:p>
          <w:p w:rsidR="0070271D" w:rsidRDefault="0070271D" w:rsidP="0070271D">
            <w:pPr>
              <w:rPr>
                <w:rFonts w:cs="Calibri"/>
              </w:rPr>
            </w:pPr>
            <w:r>
              <w:rPr>
                <w:rFonts w:cs="Calibri"/>
              </w:rPr>
              <w:t>Agua Potable avance: 25/100</w:t>
            </w:r>
          </w:p>
          <w:p w:rsidR="0070271D" w:rsidRDefault="0070271D" w:rsidP="0070271D">
            <w:pPr>
              <w:rPr>
                <w:rFonts w:cs="Calibri"/>
              </w:rPr>
            </w:pPr>
            <w:r>
              <w:rPr>
                <w:rFonts w:cs="Calibri"/>
              </w:rPr>
              <w:t>Fomento Artesanal avance: 46/100</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0"/>
                <w:szCs w:val="20"/>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0"/>
                <w:szCs w:val="20"/>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0"/>
                <w:szCs w:val="20"/>
              </w:rPr>
              <w:t>Por otras causas que por su naturaleza no es posible agrupar, es decir, cuando se presente una combinación de los factores señalados en los tipos de causas mencionados anteriormente, o causas no previstas;</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spacing w:after="120"/>
              <w:rPr>
                <w:rFonts w:ascii="Arial" w:hAnsi="Arial" w:cs="Arial"/>
                <w:sz w:val="28"/>
                <w:szCs w:val="28"/>
              </w:rPr>
            </w:pPr>
          </w:p>
          <w:p w:rsidR="0070271D" w:rsidRDefault="0070271D" w:rsidP="0070271D">
            <w:pPr>
              <w:spacing w:after="120"/>
              <w:rPr>
                <w:rFonts w:ascii="Arial" w:hAnsi="Arial" w:cs="Arial"/>
                <w:sz w:val="28"/>
                <w:szCs w:val="28"/>
              </w:rPr>
            </w:pPr>
          </w:p>
          <w:p w:rsidR="0070271D" w:rsidRDefault="0070271D" w:rsidP="0070271D">
            <w:pPr>
              <w:pStyle w:val="Ttulo1"/>
              <w:keepNext/>
              <w:keepLines/>
              <w:spacing w:before="240" w:line="276" w:lineRule="auto"/>
              <w:rPr>
                <w:rFonts w:ascii="Times New Roman" w:hAnsi="Times New Roman"/>
                <w:color w:val="2E74B5"/>
                <w:sz w:val="32"/>
                <w:szCs w:val="32"/>
                <w:lang w:val="es-MX"/>
              </w:rPr>
            </w:pPr>
            <w:r>
              <w:rPr>
                <w:rFonts w:ascii="Calibri Light" w:hAnsi="Calibri Light" w:cs="Calibri Light"/>
                <w:color w:val="2E74B5"/>
                <w:sz w:val="32"/>
                <w:szCs w:val="32"/>
                <w:lang w:val="es-MX"/>
              </w:rPr>
              <w:t>REFORMULACIÓN DE PROGRAMAS</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 xml:space="preserve">Describa en este apartado las modificaciones o adecuaciones que se hubieren decidido realizar a los programas (con MIR o sin MIR), en función de los resultados de la gestión, los avances inferiores a las metas y los procesos concluidos en su caso. En caso de que cuenten con resultados de evaluaciones externas, cuyos hallazgos resulten relevantes para la reformulación de los programas, también podrán incluirse en esta sección. </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Resultados de evaluaciones externas</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En caso de contar con resultados de evaluaciones externas, descríbalos en esta sección.</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Reformulación de programas con MIR</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 xml:space="preserve">Describa las modificaciones que se hubieren decidido realizar a programas con MIR </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3. Reformulación de Programas de gestión</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 xml:space="preserve">Describa las modificaciones que se hubieren decidido realizar a Programas de Gestión (es decir, aquellos que no cuentan con MIR) </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spacing w:after="120"/>
              <w:rPr>
                <w:rFonts w:ascii="Arial" w:hAnsi="Arial" w:cs="Arial"/>
                <w:sz w:val="28"/>
                <w:szCs w:val="28"/>
              </w:rPr>
            </w:pPr>
          </w:p>
          <w:p w:rsidR="0070271D" w:rsidRDefault="0070271D" w:rsidP="0070271D">
            <w:pPr>
              <w:spacing w:after="120"/>
              <w:rPr>
                <w:rFonts w:ascii="Arial" w:hAnsi="Arial" w:cs="Arial"/>
                <w:sz w:val="28"/>
                <w:szCs w:val="28"/>
              </w:rPr>
            </w:pPr>
          </w:p>
          <w:p w:rsidR="0070271D" w:rsidRDefault="0070271D" w:rsidP="0070271D">
            <w:pPr>
              <w:spacing w:after="120"/>
              <w:rPr>
                <w:rFonts w:ascii="Arial" w:hAnsi="Arial" w:cs="Arial"/>
                <w:sz w:val="28"/>
                <w:szCs w:val="28"/>
              </w:rPr>
            </w:pPr>
          </w:p>
          <w:p w:rsidR="0070271D" w:rsidRDefault="0070271D" w:rsidP="0070271D">
            <w:pPr>
              <w:pStyle w:val="Ttulo1"/>
              <w:keepNext/>
              <w:keepLines/>
              <w:spacing w:before="240" w:line="276" w:lineRule="auto"/>
              <w:rPr>
                <w:rFonts w:ascii="Times New Roman" w:hAnsi="Times New Roman"/>
                <w:color w:val="2E74B5"/>
                <w:sz w:val="32"/>
                <w:szCs w:val="32"/>
                <w:lang w:val="es-MX"/>
              </w:rPr>
            </w:pPr>
            <w:r>
              <w:rPr>
                <w:rFonts w:ascii="Calibri Light" w:hAnsi="Calibri Light" w:cs="Calibri Light"/>
                <w:color w:val="2E74B5"/>
                <w:sz w:val="32"/>
                <w:szCs w:val="32"/>
                <w:lang w:val="es-MX"/>
              </w:rPr>
              <w:t>ANEXOS</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Incluya en este apartado cualquier anexo gráfico o documental que se considere necesario para complementar el informe</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spacing w:after="120"/>
              <w:rPr>
                <w:rFonts w:ascii="Arial" w:hAnsi="Arial" w:cs="Arial"/>
                <w:sz w:val="28"/>
                <w:szCs w:val="28"/>
              </w:rPr>
            </w:pPr>
          </w:p>
          <w:p w:rsidR="0070271D" w:rsidRDefault="0070271D" w:rsidP="0070271D">
            <w:pPr>
              <w:spacing w:after="120"/>
              <w:rPr>
                <w:rFonts w:ascii="Arial" w:hAnsi="Arial" w:cs="Arial"/>
                <w:sz w:val="28"/>
                <w:szCs w:val="28"/>
              </w:rPr>
            </w:pPr>
          </w:p>
          <w:p w:rsidR="0070271D" w:rsidRDefault="0070271D" w:rsidP="0070271D">
            <w:pPr>
              <w:rPr>
                <w:rFonts w:ascii="Arial" w:hAnsi="Arial" w:cs="Arial"/>
                <w:sz w:val="28"/>
                <w:szCs w:val="28"/>
              </w:rPr>
            </w:pPr>
          </w:p>
          <w:p w:rsidR="0070271D" w:rsidRDefault="0070271D" w:rsidP="0070271D">
            <w:pPr>
              <w:rPr>
                <w:rFonts w:ascii="Arial" w:hAnsi="Arial" w:cs="Arial"/>
                <w:sz w:val="28"/>
                <w:szCs w:val="28"/>
              </w:rPr>
            </w:pPr>
          </w:p>
          <w:p w:rsidR="0070271D" w:rsidRDefault="0070271D" w:rsidP="0070271D">
            <w:pPr>
              <w:rPr>
                <w:rFonts w:ascii="Arial" w:hAnsi="Arial" w:cs="Arial"/>
                <w:sz w:val="28"/>
                <w:szCs w:val="28"/>
              </w:rPr>
            </w:pPr>
          </w:p>
          <w:p w:rsidR="0070271D" w:rsidRDefault="0070271D" w:rsidP="0070271D">
            <w:pPr>
              <w:rPr>
                <w:rFonts w:ascii="Arial" w:hAnsi="Arial" w:cs="Arial"/>
                <w:sz w:val="28"/>
                <w:szCs w:val="28"/>
              </w:rPr>
            </w:pPr>
          </w:p>
          <w:p w:rsidR="0070271D" w:rsidRDefault="0070271D" w:rsidP="0070271D">
            <w:pPr>
              <w:rPr>
                <w:rFonts w:ascii="Arial" w:hAnsi="Arial" w:cs="Arial"/>
                <w:sz w:val="28"/>
                <w:szCs w:val="28"/>
              </w:rPr>
            </w:pPr>
          </w:p>
          <w:p w:rsidR="0070271D" w:rsidRDefault="0070271D" w:rsidP="0070271D">
            <w:pPr>
              <w:rPr>
                <w:rFonts w:ascii="Arial" w:hAnsi="Arial" w:cs="Arial"/>
                <w:sz w:val="28"/>
                <w:szCs w:val="28"/>
              </w:rPr>
            </w:pPr>
          </w:p>
          <w:p w:rsidR="0070271D" w:rsidRDefault="0070271D" w:rsidP="0070271D">
            <w:pPr>
              <w:tabs>
                <w:tab w:val="left" w:pos="3857"/>
              </w:tabs>
              <w:rPr>
                <w:rFonts w:ascii="Arial" w:hAnsi="Arial" w:cs="Arial"/>
                <w:sz w:val="28"/>
                <w:szCs w:val="28"/>
              </w:rPr>
            </w:pPr>
            <w:r>
              <w:rPr>
                <w:rFonts w:ascii="Arial" w:hAnsi="Arial" w:cs="Arial"/>
                <w:sz w:val="28"/>
                <w:szCs w:val="28"/>
              </w:rPr>
              <w:tab/>
            </w:r>
          </w:p>
          <w:p w:rsidR="0070271D" w:rsidRDefault="0070271D" w:rsidP="0070271D">
            <w:pPr>
              <w:rPr>
                <w:rFonts w:ascii="Arial" w:hAnsi="Arial" w:cs="Arial"/>
                <w:sz w:val="28"/>
                <w:szCs w:val="28"/>
              </w:rPr>
            </w:pPr>
          </w:p>
          <w:p w:rsidR="0070271D" w:rsidRDefault="0070271D" w:rsidP="0070271D">
            <w:pPr>
              <w:spacing w:after="120"/>
              <w:rPr>
                <w:rFonts w:ascii="Arial" w:hAnsi="Arial" w:cs="Arial"/>
                <w:sz w:val="28"/>
                <w:szCs w:val="28"/>
              </w:rPr>
            </w:pPr>
          </w:p>
          <w:p w:rsidR="0070271D" w:rsidRDefault="0070271D" w:rsidP="0070271D">
            <w:pPr>
              <w:pStyle w:val="Ttulo1"/>
              <w:keepNext/>
              <w:keepLines/>
              <w:spacing w:before="240" w:line="276" w:lineRule="auto"/>
              <w:rPr>
                <w:rFonts w:ascii="Times New Roman" w:hAnsi="Times New Roman"/>
                <w:color w:val="2E74B5"/>
                <w:sz w:val="32"/>
                <w:szCs w:val="32"/>
                <w:lang w:val="es-MX"/>
              </w:rPr>
            </w:pPr>
            <w:r>
              <w:rPr>
                <w:rFonts w:ascii="Calibri Light" w:hAnsi="Calibri Light" w:cs="Calibri Light"/>
                <w:color w:val="2E74B5"/>
                <w:sz w:val="32"/>
                <w:szCs w:val="32"/>
                <w:lang w:val="es-MX"/>
              </w:rPr>
              <w:t>REFERENCIAS DOCUMENTALES</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Incluya en este apartado las referencias a documentos oficiales que se encuentren disponibles públicamente, y que resulten necesarios para sustentar la información que se reporta en este informe</w:t>
            </w: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70271D" w:rsidRDefault="0070271D" w:rsidP="0070271D">
            <w:pPr>
              <w:spacing w:after="120"/>
              <w:rPr>
                <w:rFonts w:ascii="Arial" w:hAnsi="Arial" w:cs="Arial"/>
                <w:sz w:val="28"/>
                <w:szCs w:val="28"/>
              </w:rPr>
            </w:pPr>
          </w:p>
          <w:p w:rsidR="0070271D" w:rsidRDefault="0070271D" w:rsidP="0070271D">
            <w:pPr>
              <w:spacing w:after="120"/>
              <w:rPr>
                <w:rFonts w:ascii="Arial" w:hAnsi="Arial" w:cs="Arial"/>
                <w:sz w:val="28"/>
                <w:szCs w:val="28"/>
              </w:rPr>
            </w:pPr>
          </w:p>
          <w:p w:rsidR="0070271D" w:rsidRDefault="0070271D" w:rsidP="0070271D">
            <w:pPr>
              <w:spacing w:after="120"/>
              <w:rPr>
                <w:rFonts w:ascii="Arial" w:hAnsi="Arial" w:cs="Arial"/>
                <w:sz w:val="28"/>
                <w:szCs w:val="28"/>
              </w:rPr>
            </w:pPr>
          </w:p>
          <w:p w:rsidR="0070271D" w:rsidRDefault="0070271D" w:rsidP="0070271D">
            <w:pPr>
              <w:spacing w:after="120"/>
              <w:rPr>
                <w:rFonts w:ascii="Arial" w:hAnsi="Arial" w:cs="Arial"/>
                <w:sz w:val="28"/>
                <w:szCs w:val="28"/>
              </w:rPr>
            </w:pPr>
          </w:p>
          <w:p w:rsidR="0070271D" w:rsidRDefault="0070271D" w:rsidP="0070271D">
            <w:pPr>
              <w:rPr>
                <w:rFonts w:ascii="Arial" w:hAnsi="Arial" w:cs="Arial"/>
                <w:sz w:val="23"/>
                <w:szCs w:val="23"/>
              </w:rPr>
            </w:pPr>
          </w:p>
          <w:p w:rsidR="00A45E83" w:rsidRPr="007326BD" w:rsidRDefault="00A45E83" w:rsidP="00A45E83">
            <w:pPr>
              <w:spacing w:after="0" w:line="240" w:lineRule="auto"/>
              <w:jc w:val="both"/>
              <w:rPr>
                <w:rFonts w:ascii="Arial" w:hAnsi="Arial" w:cs="Arial"/>
                <w:sz w:val="24"/>
                <w:szCs w:val="24"/>
              </w:rPr>
            </w:pPr>
          </w:p>
        </w:tc>
      </w:tr>
    </w:tbl>
    <w:p w:rsidR="00A45E83" w:rsidRDefault="00A45E83">
      <w:pPr>
        <w:rPr>
          <w:rFonts w:ascii="Arial" w:hAnsi="Arial" w:cs="Arial"/>
        </w:rPr>
      </w:pPr>
    </w:p>
    <w:p w:rsidR="00937252" w:rsidRDefault="00937252">
      <w:pPr>
        <w:rPr>
          <w:rFonts w:ascii="Arial" w:hAnsi="Arial" w:cs="Arial"/>
        </w:rPr>
      </w:pPr>
    </w:p>
    <w:p w:rsidR="00937252" w:rsidRDefault="00937252">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7"/>
        <w:gridCol w:w="1242"/>
        <w:gridCol w:w="3849"/>
      </w:tblGrid>
      <w:tr w:rsidR="00937252" w:rsidRPr="00EB7BF7" w:rsidTr="00937252">
        <w:trPr>
          <w:jc w:val="center"/>
        </w:trPr>
        <w:tc>
          <w:tcPr>
            <w:tcW w:w="3794" w:type="dxa"/>
            <w:shd w:val="clear" w:color="auto" w:fill="auto"/>
          </w:tcPr>
          <w:p w:rsidR="00937252" w:rsidRPr="00EB7BF7" w:rsidRDefault="00003006" w:rsidP="00937252">
            <w:pPr>
              <w:tabs>
                <w:tab w:val="center" w:pos="1789"/>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7216" behindDoc="0" locked="0" layoutInCell="1" allowOverlap="1">
                      <wp:simplePos x="0" y="0"/>
                      <wp:positionH relativeFrom="column">
                        <wp:posOffset>-22860</wp:posOffset>
                      </wp:positionH>
                      <wp:positionV relativeFrom="paragraph">
                        <wp:posOffset>259715</wp:posOffset>
                      </wp:positionV>
                      <wp:extent cx="2295525" cy="0"/>
                      <wp:effectExtent l="5080" t="5080" r="13970" b="1397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type w14:anchorId="2A2F7FCB" id="_x0000_t32" coordsize="21600,21600" o:spt="32" o:oned="t" path="m,l21600,21600e" filled="f">
                      <v:path arrowok="t" fillok="f" o:connecttype="none"/>
                      <o:lock v:ext="edit" shapetype="t"/>
                    </v:shapetype>
                    <v:shape id="AutoShape 2"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NEB8D0bAgAAOwQAAA4AAAAAAAAAAAAAAAAALgIAAGRycy9lMm9Eb2MueG1sUEsBAi0A&#10;FAAGAAgAAAAhANSWC17eAAAACAEAAA8AAAAAAAAAAAAAAAAAdQQAAGRycy9kb3ducmV2LnhtbFBL&#10;BQYAAAAABAAEAPMAAACABQAAAAA=&#10;"/>
                  </w:pict>
                </mc:Fallback>
              </mc:AlternateContent>
            </w:r>
            <w:r w:rsidR="00937252">
              <w:rPr>
                <w:rFonts w:ascii="Arial" w:hAnsi="Arial" w:cs="Arial"/>
                <w:b/>
                <w:sz w:val="20"/>
              </w:rPr>
              <w:tab/>
            </w:r>
          </w:p>
        </w:tc>
        <w:tc>
          <w:tcPr>
            <w:tcW w:w="1276" w:type="dxa"/>
            <w:shd w:val="clear" w:color="auto" w:fill="auto"/>
          </w:tcPr>
          <w:p w:rsidR="00937252" w:rsidRPr="00EB7BF7" w:rsidRDefault="00937252" w:rsidP="00937252">
            <w:pPr>
              <w:rPr>
                <w:rFonts w:ascii="Arial" w:hAnsi="Arial" w:cs="Arial"/>
                <w:b/>
                <w:sz w:val="20"/>
              </w:rPr>
            </w:pPr>
          </w:p>
        </w:tc>
        <w:tc>
          <w:tcPr>
            <w:tcW w:w="3908" w:type="dxa"/>
            <w:shd w:val="clear" w:color="auto" w:fill="auto"/>
          </w:tcPr>
          <w:p w:rsidR="00937252" w:rsidRPr="00EB7BF7" w:rsidRDefault="00003006" w:rsidP="00937252">
            <w:pPr>
              <w:tabs>
                <w:tab w:val="center" w:pos="1846"/>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8240" behindDoc="0" locked="0" layoutInCell="1" allowOverlap="1">
                      <wp:simplePos x="0" y="0"/>
                      <wp:positionH relativeFrom="column">
                        <wp:posOffset>15240</wp:posOffset>
                      </wp:positionH>
                      <wp:positionV relativeFrom="paragraph">
                        <wp:posOffset>259715</wp:posOffset>
                      </wp:positionV>
                      <wp:extent cx="2295525" cy="0"/>
                      <wp:effectExtent l="5080" t="5080" r="13970" b="1397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385DF277" id="AutoShape 3"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nmLwehwCAAA7BAAADgAAAAAAAAAAAAAAAAAuAgAAZHJzL2Uyb0RvYy54bWxQSwECLQAU&#10;AAYACAAAACEArxXqGdwAAAAHAQAADwAAAAAAAAAAAAAAAAB2BAAAZHJzL2Rvd25yZXYueG1sUEsF&#10;BgAAAAAEAAQA8wAAAH8FAAAAAA==&#10;"/>
                  </w:pict>
                </mc:Fallback>
              </mc:AlternateContent>
            </w:r>
            <w:r w:rsidR="00937252">
              <w:rPr>
                <w:rFonts w:ascii="Arial" w:hAnsi="Arial" w:cs="Arial"/>
                <w:b/>
                <w:sz w:val="20"/>
              </w:rPr>
              <w:tab/>
            </w:r>
          </w:p>
        </w:tc>
      </w:tr>
      <w:tr w:rsidR="00937252" w:rsidRPr="00EB7BF7" w:rsidTr="00937252">
        <w:trPr>
          <w:jc w:val="center"/>
        </w:trPr>
        <w:tc>
          <w:tcPr>
            <w:tcW w:w="3794" w:type="dxa"/>
            <w:shd w:val="clear" w:color="auto" w:fill="auto"/>
          </w:tcPr>
          <w:p w:rsidR="00937252" w:rsidRPr="00EB7BF7" w:rsidRDefault="0070271D" w:rsidP="00937252">
            <w:pPr>
              <w:jc w:val="center"/>
              <w:rPr>
                <w:rFonts w:ascii="Arial" w:hAnsi="Arial" w:cs="Arial"/>
                <w:b/>
                <w:sz w:val="20"/>
              </w:rPr>
            </w:pPr>
            <w:bookmarkStart w:id="4" w:name="firma1"/>
            <w:bookmarkEnd w:id="4"/>
            <w:r>
              <w:rPr>
                <w:rFonts w:ascii="Arial" w:hAnsi="Arial" w:cs="Arial"/>
                <w:b/>
                <w:sz w:val="20"/>
              </w:rPr>
              <w:t>DR. FRANCISCO JAVIER ALVAREZ CHAVEZ</w:t>
            </w:r>
          </w:p>
          <w:p w:rsidR="00937252" w:rsidRPr="00EB7BF7" w:rsidRDefault="0070271D" w:rsidP="00937252">
            <w:pPr>
              <w:jc w:val="center"/>
              <w:rPr>
                <w:rFonts w:ascii="Arial" w:hAnsi="Arial" w:cs="Arial"/>
                <w:b/>
                <w:sz w:val="20"/>
              </w:rPr>
            </w:pPr>
            <w:bookmarkStart w:id="5" w:name="Cargo1"/>
            <w:bookmarkEnd w:id="5"/>
            <w:r>
              <w:rPr>
                <w:rFonts w:ascii="Arial" w:hAnsi="Arial" w:cs="Arial"/>
                <w:b/>
                <w:sz w:val="20"/>
              </w:rPr>
              <w:t>PRESIDENTE</w:t>
            </w:r>
          </w:p>
        </w:tc>
        <w:tc>
          <w:tcPr>
            <w:tcW w:w="1276" w:type="dxa"/>
            <w:shd w:val="clear" w:color="auto" w:fill="auto"/>
          </w:tcPr>
          <w:p w:rsidR="00937252" w:rsidRPr="00EB7BF7" w:rsidRDefault="00937252" w:rsidP="00937252">
            <w:pPr>
              <w:rPr>
                <w:rFonts w:ascii="Arial" w:hAnsi="Arial" w:cs="Arial"/>
                <w:b/>
                <w:sz w:val="20"/>
              </w:rPr>
            </w:pPr>
          </w:p>
        </w:tc>
        <w:tc>
          <w:tcPr>
            <w:tcW w:w="3908" w:type="dxa"/>
            <w:shd w:val="clear" w:color="auto" w:fill="auto"/>
          </w:tcPr>
          <w:p w:rsidR="00937252" w:rsidRPr="00EB7BF7" w:rsidRDefault="0070271D" w:rsidP="00937252">
            <w:pPr>
              <w:jc w:val="center"/>
              <w:rPr>
                <w:rFonts w:ascii="Arial" w:hAnsi="Arial" w:cs="Arial"/>
                <w:b/>
                <w:sz w:val="20"/>
              </w:rPr>
            </w:pPr>
            <w:bookmarkStart w:id="6" w:name="firma2"/>
            <w:bookmarkEnd w:id="6"/>
            <w:r>
              <w:rPr>
                <w:rFonts w:ascii="Arial" w:hAnsi="Arial" w:cs="Arial"/>
                <w:b/>
                <w:sz w:val="20"/>
              </w:rPr>
              <w:t>MTRA. ERIKA FABIOLA RAMOS CHAVEZ</w:t>
            </w:r>
          </w:p>
          <w:p w:rsidR="00937252" w:rsidRPr="00EB7BF7" w:rsidRDefault="0070271D" w:rsidP="00937252">
            <w:pPr>
              <w:jc w:val="center"/>
              <w:rPr>
                <w:rFonts w:ascii="Arial" w:hAnsi="Arial" w:cs="Arial"/>
                <w:b/>
                <w:sz w:val="20"/>
              </w:rPr>
            </w:pPr>
            <w:bookmarkStart w:id="7" w:name="Cargo2"/>
            <w:bookmarkEnd w:id="7"/>
            <w:r>
              <w:rPr>
                <w:rFonts w:ascii="Arial" w:hAnsi="Arial" w:cs="Arial"/>
                <w:b/>
                <w:sz w:val="20"/>
              </w:rPr>
              <w:t>ENCARGADA DE LA HACIENDA MUNICIPAL</w:t>
            </w:r>
          </w:p>
        </w:tc>
      </w:tr>
    </w:tbl>
    <w:p w:rsidR="00937252" w:rsidRDefault="00937252" w:rsidP="00937252">
      <w:pPr>
        <w:rPr>
          <w:rFonts w:ascii="Arial" w:hAnsi="Arial" w:cs="Arial"/>
          <w:sz w:val="20"/>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828"/>
      </w:tblGrid>
      <w:tr w:rsidR="00937252" w:rsidRPr="00721735" w:rsidTr="00937252">
        <w:tc>
          <w:tcPr>
            <w:tcW w:w="8978" w:type="dxa"/>
            <w:shd w:val="clear" w:color="auto" w:fill="auto"/>
          </w:tcPr>
          <w:p w:rsidR="00937252" w:rsidRPr="00721735" w:rsidRDefault="0070271D" w:rsidP="00937252">
            <w:pPr>
              <w:jc w:val="center"/>
              <w:rPr>
                <w:rFonts w:ascii="C39HrP24DhTt" w:hAnsi="C39HrP24DhTt" w:cs="Arial"/>
                <w:sz w:val="44"/>
                <w:szCs w:val="44"/>
              </w:rPr>
            </w:pPr>
            <w:bookmarkStart w:id="8" w:name="codigo"/>
            <w:bookmarkEnd w:id="8"/>
            <w:r>
              <w:rPr>
                <w:rFonts w:ascii="C39HrP24DhTt" w:hAnsi="C39HrP24DhTt" w:cs="Arial"/>
                <w:sz w:val="44"/>
                <w:szCs w:val="44"/>
              </w:rPr>
              <w:t>ASEJ2020-15-23-10-2020-1</w:t>
            </w:r>
          </w:p>
        </w:tc>
      </w:tr>
    </w:tbl>
    <w:p w:rsidR="00937252" w:rsidRDefault="00937252" w:rsidP="00937252">
      <w:pPr>
        <w:rPr>
          <w:rFonts w:ascii="Arial" w:hAnsi="Arial" w:cs="Arial"/>
          <w:sz w:val="20"/>
        </w:rPr>
      </w:pPr>
    </w:p>
    <w:p w:rsidR="00937252" w:rsidRPr="00B157EC" w:rsidRDefault="00937252" w:rsidP="00937252">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rsidR="00937252" w:rsidRPr="007326BD" w:rsidRDefault="00937252">
      <w:pPr>
        <w:rPr>
          <w:rFonts w:ascii="Arial" w:hAnsi="Arial" w:cs="Arial"/>
        </w:rPr>
      </w:pPr>
    </w:p>
    <w:sectPr w:rsidR="00937252"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fornian FB">
    <w:panose1 w:val="0207040306080B030204"/>
    <w:charset w:val="00"/>
    <w:family w:val="roman"/>
    <w:pitch w:val="variable"/>
    <w:sig w:usb0="00000003" w:usb1="00000000" w:usb2="00000000" w:usb3="00000000" w:csb0="00000001" w:csb1="00000000"/>
  </w:font>
  <w:font w:name="C39HrP24DhTt">
    <w:panose1 w:val="00000000000000000000"/>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5E83"/>
    <w:rsid w:val="00003006"/>
    <w:rsid w:val="0070271D"/>
    <w:rsid w:val="007326BD"/>
    <w:rsid w:val="00806603"/>
    <w:rsid w:val="00937252"/>
    <w:rsid w:val="00A45E83"/>
    <w:rsid w:val="00C6688B"/>
    <w:rsid w:val="00F279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64FABF-BCFA-4CF0-8414-D8B67EA18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6603"/>
    <w:pPr>
      <w:spacing w:after="200" w:line="276" w:lineRule="auto"/>
    </w:pPr>
    <w:rPr>
      <w:sz w:val="22"/>
      <w:szCs w:val="22"/>
      <w:lang w:eastAsia="en-US"/>
    </w:rPr>
  </w:style>
  <w:style w:type="paragraph" w:styleId="Ttulo1">
    <w:name w:val="heading 1"/>
    <w:basedOn w:val="Normal"/>
    <w:next w:val="Normal"/>
    <w:link w:val="Ttulo1Car"/>
    <w:uiPriority w:val="99"/>
    <w:qFormat/>
    <w:rsid w:val="0070271D"/>
    <w:pPr>
      <w:autoSpaceDE w:val="0"/>
      <w:autoSpaceDN w:val="0"/>
      <w:adjustRightInd w:val="0"/>
      <w:spacing w:after="0" w:line="240" w:lineRule="auto"/>
      <w:outlineLvl w:val="0"/>
    </w:pPr>
    <w:rPr>
      <w:sz w:val="24"/>
      <w:szCs w:val="24"/>
      <w:lang w:val="es-419"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9"/>
    <w:rsid w:val="0070271D"/>
    <w:rPr>
      <w:sz w:val="24"/>
      <w:szCs w:val="24"/>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1060</Words>
  <Characters>5832</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ISC Heriberto Ocaña Navarro</dc:creator>
  <cp:keywords/>
  <cp:lastModifiedBy>Blanca Estela Vargas Vázquez</cp:lastModifiedBy>
  <cp:revision>4</cp:revision>
  <dcterms:created xsi:type="dcterms:W3CDTF">2020-05-27T16:09:00Z</dcterms:created>
  <dcterms:modified xsi:type="dcterms:W3CDTF">2020-10-23T15:32:00Z</dcterms:modified>
</cp:coreProperties>
</file>