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9F5BF2" w:rsidRDefault="00F07D9D" w:rsidP="00245F49">
            <w:pPr>
              <w:spacing w:after="0" w:line="240" w:lineRule="auto"/>
              <w:jc w:val="center"/>
              <w:rPr>
                <w:rFonts w:ascii="Arial" w:hAnsi="Arial" w:cs="Arial"/>
                <w:b/>
                <w:sz w:val="24"/>
                <w:szCs w:val="28"/>
              </w:rPr>
            </w:pPr>
            <w:bookmarkStart w:id="0" w:name="ente"/>
            <w:bookmarkStart w:id="1" w:name="_GoBack"/>
            <w:bookmarkEnd w:id="0"/>
            <w:bookmarkEnd w:id="1"/>
            <w:r>
              <w:rPr>
                <w:rFonts w:ascii="Arial" w:hAnsi="Arial" w:cs="Arial"/>
                <w:b/>
                <w:sz w:val="24"/>
                <w:szCs w:val="28"/>
              </w:rPr>
              <w:t>MUNICIPIO TAMAZULA DE GORDIANO</w:t>
            </w:r>
          </w:p>
          <w:p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NOTAS A LOS ESTADOS FINANCIEROS</w:t>
            </w:r>
          </w:p>
          <w:p w:rsidR="00245F49" w:rsidRPr="004A7026" w:rsidRDefault="00245F49" w:rsidP="00245F49">
            <w:pPr>
              <w:spacing w:after="0" w:line="240" w:lineRule="auto"/>
              <w:jc w:val="center"/>
              <w:rPr>
                <w:rFonts w:ascii="Arial" w:hAnsi="Arial" w:cs="Arial"/>
                <w:b/>
                <w:sz w:val="24"/>
                <w:szCs w:val="28"/>
              </w:rPr>
            </w:pPr>
            <w:r w:rsidRPr="004A7026">
              <w:rPr>
                <w:rFonts w:ascii="Arial" w:hAnsi="Arial" w:cs="Arial"/>
                <w:b/>
                <w:sz w:val="24"/>
                <w:szCs w:val="28"/>
              </w:rPr>
              <w:t xml:space="preserve"> DE GESTIÓN ADMINISTRATIVA</w:t>
            </w:r>
          </w:p>
          <w:p w:rsidR="00A45E83" w:rsidRPr="007326BD" w:rsidRDefault="00A45E83" w:rsidP="00A45E83">
            <w:pPr>
              <w:spacing w:after="0" w:line="240" w:lineRule="auto"/>
              <w:jc w:val="center"/>
              <w:rPr>
                <w:rFonts w:ascii="Arial" w:hAnsi="Arial" w:cs="Arial"/>
                <w:sz w:val="28"/>
                <w:szCs w:val="28"/>
              </w:rPr>
            </w:pPr>
          </w:p>
          <w:p w:rsidR="00A45E83" w:rsidRPr="00EF11D0" w:rsidRDefault="00F07D9D" w:rsidP="00A45E83">
            <w:pPr>
              <w:spacing w:after="0" w:line="240" w:lineRule="auto"/>
              <w:jc w:val="center"/>
              <w:rPr>
                <w:rFonts w:ascii="Arial" w:hAnsi="Arial" w:cs="Arial"/>
                <w:b/>
                <w:sz w:val="24"/>
                <w:szCs w:val="24"/>
              </w:rPr>
            </w:pPr>
            <w:bookmarkStart w:id="2" w:name="periodo"/>
            <w:bookmarkEnd w:id="2"/>
            <w:r>
              <w:rPr>
                <w:rFonts w:ascii="Arial" w:hAnsi="Arial" w:cs="Arial"/>
                <w:b/>
                <w:sz w:val="24"/>
                <w:szCs w:val="24"/>
              </w:rPr>
              <w:t>DEL 1 DE ENERO AL 30 DE JUNIO DE 2020</w:t>
            </w:r>
          </w:p>
        </w:tc>
      </w:tr>
    </w:tbl>
    <w:p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rsidTr="00A45E83">
        <w:tc>
          <w:tcPr>
            <w:tcW w:w="8978" w:type="dxa"/>
          </w:tcPr>
          <w:p w:rsidR="00F07D9D" w:rsidRDefault="00F07D9D" w:rsidP="00F07D9D">
            <w:pPr>
              <w:autoSpaceDE w:val="0"/>
              <w:autoSpaceDN w:val="0"/>
              <w:adjustRightInd w:val="0"/>
              <w:spacing w:after="160" w:line="252" w:lineRule="auto"/>
              <w:jc w:val="both"/>
              <w:rPr>
                <w:rFonts w:ascii="Arial" w:hAnsi="Arial" w:cs="Arial"/>
                <w:b/>
                <w:bCs/>
                <w:lang w:eastAsia="es-MX"/>
              </w:rPr>
            </w:pPr>
            <w:bookmarkStart w:id="3" w:name="cuerpo"/>
            <w:bookmarkEnd w:id="3"/>
            <w:r>
              <w:rPr>
                <w:rFonts w:ascii="Arial" w:hAnsi="Arial" w:cs="Arial"/>
                <w:b/>
                <w:bCs/>
                <w:lang w:eastAsia="es-MX"/>
              </w:rPr>
              <w:t>C) NOTAS DE GESTIÓN ADMINISTRATIVA</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 Introducción</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Los Estados Financieros de los entes públicos, proveen de información financiera a los principales usuarios de la misma, al Congreso y a los ciudadanos.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El objetivo del presente documento es la revelación del contexto y de los aspectos económicos-financieros más relevantes que influyeron en las decisiones del período, y que deberán ser considerados en la elaboración de los estados financieros para la mayor comprensión de los mismos y sus particularidades.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2. Panorama Económico y Financiero</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 las principales condiciones económico- financieras bajo las cuales el ente público estuvo operando; y las cuales influyeron en la toma de decisiones de la administración; tanto a nivel local como federal.</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3. Autorización e Historia</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Fecha de creación del ente.</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xml:space="preserve">Tamazula cuenta con Ayuntamiento Constitucional desde el año de 1820, un año anterior a la consumación de la independencia nacional. </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Principales cambios en su estructura.</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Años posteriores, dentro del proceso de reorganización político-administrativo, el 8 de abril de 1844, el Congreso de Jalisco, mediante Decreto no. 5 ordenó la instalación formal del Ayuntamiento de Tamazula, el cual debía, en ese entonces, quedar integrado por dos Alcaldes, cuatro Regidores y un Sindico; siendo el Cabildo el máximo órgano del Gobierno Civil, elegido mediante el sufragio popular.</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4. Organización y Objeto Social</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Objeto social.</w:t>
            </w:r>
          </w:p>
          <w:p w:rsidR="00F07D9D" w:rsidRDefault="00F07D9D" w:rsidP="00F07D9D">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1.</w:t>
            </w:r>
            <w:r>
              <w:rPr>
                <w:rFonts w:ascii="Arial" w:hAnsi="Arial" w:cs="Arial"/>
                <w:color w:val="000000"/>
                <w:lang w:eastAsia="es-MX"/>
              </w:rPr>
              <w:tab/>
              <w:t>El bienestar de la comunidad local y su desarrollo cultural, social y material;</w:t>
            </w:r>
          </w:p>
          <w:p w:rsidR="00F07D9D" w:rsidRDefault="00F07D9D" w:rsidP="00F07D9D">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2.</w:t>
            </w:r>
            <w:r>
              <w:rPr>
                <w:rFonts w:ascii="Arial" w:hAnsi="Arial" w:cs="Arial"/>
                <w:color w:val="000000"/>
                <w:lang w:eastAsia="es-MX"/>
              </w:rPr>
              <w:tab/>
              <w:t>La protección de la salud y la seguridad de las personas;</w:t>
            </w:r>
          </w:p>
          <w:p w:rsidR="00F07D9D" w:rsidRDefault="00F07D9D" w:rsidP="00F07D9D">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3.</w:t>
            </w:r>
            <w:r>
              <w:rPr>
                <w:rFonts w:ascii="Arial" w:hAnsi="Arial" w:cs="Arial"/>
                <w:color w:val="000000"/>
                <w:lang w:eastAsia="es-MX"/>
              </w:rPr>
              <w:tab/>
              <w:t>El fomento del civismo y de la solidaridad entre los vecinos; y</w:t>
            </w:r>
          </w:p>
          <w:p w:rsidR="00F07D9D" w:rsidRDefault="00F07D9D" w:rsidP="00F07D9D">
            <w:pPr>
              <w:autoSpaceDE w:val="0"/>
              <w:autoSpaceDN w:val="0"/>
              <w:adjustRightInd w:val="0"/>
              <w:spacing w:after="120" w:line="240" w:lineRule="auto"/>
              <w:ind w:left="1068" w:hanging="360"/>
              <w:jc w:val="both"/>
              <w:rPr>
                <w:rFonts w:ascii="Arial" w:hAnsi="Arial" w:cs="Arial"/>
                <w:color w:val="000000"/>
                <w:lang w:eastAsia="es-MX"/>
              </w:rPr>
            </w:pPr>
            <w:r>
              <w:rPr>
                <w:rFonts w:ascii="Arial" w:hAnsi="Arial" w:cs="Arial"/>
                <w:color w:val="000000"/>
                <w:lang w:eastAsia="es-MX"/>
              </w:rPr>
              <w:t>4.</w:t>
            </w:r>
            <w:r>
              <w:rPr>
                <w:rFonts w:ascii="Arial" w:hAnsi="Arial" w:cs="Arial"/>
                <w:color w:val="000000"/>
                <w:lang w:eastAsia="es-MX"/>
              </w:rPr>
              <w:tab/>
              <w:t>La cooperación con otras Municipalidades y entidades para el cumplimiento de obras de interés colectivo, dentro de sus fines específicos.</w:t>
            </w:r>
          </w:p>
          <w:p w:rsidR="00F07D9D" w:rsidRDefault="00F07D9D" w:rsidP="00F07D9D">
            <w:pPr>
              <w:autoSpaceDE w:val="0"/>
              <w:autoSpaceDN w:val="0"/>
              <w:adjustRightInd w:val="0"/>
              <w:spacing w:after="160" w:line="252" w:lineRule="auto"/>
              <w:ind w:left="720"/>
              <w:jc w:val="both"/>
              <w:rPr>
                <w:rFonts w:ascii="Arial" w:hAnsi="Arial" w:cs="Arial"/>
                <w:lang w:eastAsia="es-MX"/>
              </w:rPr>
            </w:pP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Principal actividad.</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Administración pública municipal en general y actividades asistenciales.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Ejercicio fiscal.</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2017</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Régimen jurídico.</w:t>
            </w:r>
          </w:p>
          <w:p w:rsidR="00F07D9D" w:rsidRDefault="00F07D9D" w:rsidP="00F07D9D">
            <w:pPr>
              <w:autoSpaceDE w:val="0"/>
              <w:autoSpaceDN w:val="0"/>
              <w:adjustRightInd w:val="0"/>
              <w:spacing w:after="160" w:line="252" w:lineRule="auto"/>
              <w:ind w:left="720"/>
              <w:rPr>
                <w:rFonts w:ascii="Arial" w:hAnsi="Arial" w:cs="Arial"/>
                <w:lang w:eastAsia="es-MX"/>
              </w:rPr>
            </w:pPr>
            <w:r>
              <w:rPr>
                <w:rFonts w:ascii="Arial" w:hAnsi="Arial" w:cs="Arial"/>
                <w:lang w:eastAsia="es-MX"/>
              </w:rPr>
              <w:t>Persona Moral con Fines no Lucrativos</w:t>
            </w:r>
          </w:p>
          <w:p w:rsidR="00F07D9D" w:rsidRDefault="00F07D9D" w:rsidP="00F07D9D">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e)</w:t>
            </w:r>
            <w:r>
              <w:rPr>
                <w:rFonts w:ascii="Arial" w:hAnsi="Arial" w:cs="Arial"/>
                <w:lang w:eastAsia="es-MX"/>
              </w:rPr>
              <w:tab/>
              <w:t xml:space="preserve">Consideraciones fiscales del ente: </w:t>
            </w:r>
          </w:p>
          <w:p w:rsidR="00F07D9D" w:rsidRDefault="00F07D9D" w:rsidP="00F07D9D">
            <w:pPr>
              <w:autoSpaceDE w:val="0"/>
              <w:autoSpaceDN w:val="0"/>
              <w:adjustRightInd w:val="0"/>
              <w:spacing w:after="160" w:line="252" w:lineRule="auto"/>
              <w:ind w:left="720"/>
              <w:rPr>
                <w:rFonts w:ascii="Arial" w:hAnsi="Arial" w:cs="Arial"/>
                <w:lang w:eastAsia="es-MX"/>
              </w:rPr>
            </w:pPr>
            <w:r>
              <w:rPr>
                <w:rFonts w:ascii="Arial" w:hAnsi="Arial" w:cs="Arial"/>
                <w:lang w:eastAsia="es-MX"/>
              </w:rPr>
              <w:t>Entero de retenciones mensuales de ISR por sueldos y salarios.</w:t>
            </w:r>
          </w:p>
          <w:p w:rsidR="00F07D9D" w:rsidRDefault="00F07D9D" w:rsidP="00F07D9D">
            <w:pPr>
              <w:autoSpaceDE w:val="0"/>
              <w:autoSpaceDN w:val="0"/>
              <w:adjustRightInd w:val="0"/>
              <w:spacing w:after="160" w:line="252" w:lineRule="auto"/>
              <w:ind w:left="720" w:hanging="360"/>
              <w:rPr>
                <w:rFonts w:ascii="Arial" w:hAnsi="Arial" w:cs="Arial"/>
                <w:lang w:eastAsia="es-MX"/>
              </w:rPr>
            </w:pPr>
            <w:r>
              <w:rPr>
                <w:rFonts w:ascii="Arial" w:hAnsi="Arial" w:cs="Arial"/>
                <w:lang w:eastAsia="es-MX"/>
              </w:rPr>
              <w:t>f)</w:t>
            </w:r>
            <w:r>
              <w:rPr>
                <w:rFonts w:ascii="Arial" w:hAnsi="Arial" w:cs="Arial"/>
                <w:lang w:eastAsia="es-MX"/>
              </w:rPr>
              <w:tab/>
              <w:t>Estructura organizacional básica.</w:t>
            </w:r>
          </w:p>
          <w:p w:rsidR="00F07D9D" w:rsidRDefault="00F07D9D" w:rsidP="00F07D9D">
            <w:pPr>
              <w:autoSpaceDE w:val="0"/>
              <w:autoSpaceDN w:val="0"/>
              <w:adjustRightInd w:val="0"/>
              <w:spacing w:after="160" w:line="252" w:lineRule="auto"/>
              <w:rPr>
                <w:rFonts w:cs="Calibri"/>
                <w:noProof/>
                <w:lang w:eastAsia="es-MX"/>
              </w:rPr>
            </w:pPr>
          </w:p>
          <w:p w:rsidR="00F07D9D" w:rsidRDefault="00F07D9D" w:rsidP="00F07D9D">
            <w:pPr>
              <w:autoSpaceDE w:val="0"/>
              <w:autoSpaceDN w:val="0"/>
              <w:adjustRightInd w:val="0"/>
              <w:spacing w:after="0" w:line="240" w:lineRule="auto"/>
              <w:rPr>
                <w:rFonts w:cs="Calibri"/>
                <w:noProof/>
                <w:lang w:val="es-419" w:eastAsia="es-MX"/>
              </w:rPr>
            </w:pPr>
            <w:r>
              <w:rPr>
                <w:rFonts w:ascii="Arial" w:hAnsi="Arial" w:cs="Arial"/>
                <w:noProof/>
                <w:sz w:val="23"/>
                <w:szCs w:val="23"/>
                <w:lang w:val="es-419" w:eastAsia="es-419"/>
              </w:rPr>
              <w:drawing>
                <wp:inline distT="0" distB="0" distL="0" distR="0">
                  <wp:extent cx="3343275" cy="390525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343275" cy="3905250"/>
                          </a:xfrm>
                          <a:prstGeom prst="rect">
                            <a:avLst/>
                          </a:prstGeom>
                          <a:noFill/>
                          <a:ln>
                            <a:noFill/>
                          </a:ln>
                        </pic:spPr>
                      </pic:pic>
                    </a:graphicData>
                  </a:graphic>
                </wp:inline>
              </w:drawing>
            </w: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r>
              <w:rPr>
                <w:rFonts w:ascii="Arial" w:hAnsi="Arial" w:cs="Arial"/>
                <w:noProof/>
                <w:sz w:val="23"/>
                <w:szCs w:val="23"/>
                <w:lang w:val="es-419" w:eastAsia="es-419"/>
              </w:rPr>
              <w:drawing>
                <wp:inline distT="0" distB="0" distL="0" distR="0">
                  <wp:extent cx="4448175" cy="5886450"/>
                  <wp:effectExtent l="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48175" cy="5886450"/>
                          </a:xfrm>
                          <a:prstGeom prst="rect">
                            <a:avLst/>
                          </a:prstGeom>
                          <a:noFill/>
                          <a:ln>
                            <a:noFill/>
                          </a:ln>
                        </pic:spPr>
                      </pic:pic>
                    </a:graphicData>
                  </a:graphic>
                </wp:inline>
              </w:drawing>
            </w: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rPr>
                <w:rFonts w:ascii="Arial" w:hAnsi="Arial" w:cs="Arial"/>
                <w:lang w:eastAsia="es-MX"/>
              </w:rPr>
            </w:pPr>
          </w:p>
          <w:p w:rsidR="00F07D9D" w:rsidRDefault="00F07D9D" w:rsidP="00F07D9D">
            <w:pPr>
              <w:autoSpaceDE w:val="0"/>
              <w:autoSpaceDN w:val="0"/>
              <w:adjustRightInd w:val="0"/>
              <w:spacing w:after="160" w:line="252" w:lineRule="auto"/>
              <w:ind w:left="720"/>
              <w:jc w:val="both"/>
              <w:rPr>
                <w:rFonts w:ascii="Arial" w:hAnsi="Arial" w:cs="Arial"/>
                <w:lang w:eastAsia="es-MX"/>
              </w:rPr>
            </w:pP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Fideicomisos, mandatos y análogos de los cuales es fideicomitente o fideicomisario.</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5. Bases de Preparación de los Estados Financieros.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Si se ha observado la normatividad emitida por el CONAC y las disposiciones legales aplicables.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Postulados básicos.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Para las entidades que por primera vez estén implementando la base devengado de acuerdo a la Ley de Contabilidad, deberán:</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las nuevas políticas de reconocimiento;</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Su plan de implementación;</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 Revelar los cambios en las políticas, la clasificación y medición de las mismas, así como su impacto en la información financiera, y</w:t>
            </w: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Presentar los últimos estados financieros con la normatividad anteriormente utilizada con las nuevas políticas para fines de comparación en la transición a la base devengado.</w:t>
            </w:r>
          </w:p>
          <w:p w:rsidR="00F07D9D" w:rsidRDefault="00F07D9D" w:rsidP="00F07D9D">
            <w:pPr>
              <w:autoSpaceDE w:val="0"/>
              <w:autoSpaceDN w:val="0"/>
              <w:adjustRightInd w:val="0"/>
              <w:spacing w:after="160" w:line="252" w:lineRule="auto"/>
              <w:ind w:left="720"/>
              <w:jc w:val="both"/>
              <w:rPr>
                <w:rFonts w:ascii="Arial" w:hAnsi="Arial" w:cs="Arial"/>
                <w:lang w:eastAsia="es-MX"/>
              </w:rPr>
            </w:pPr>
          </w:p>
          <w:p w:rsidR="00F07D9D" w:rsidRDefault="00F07D9D" w:rsidP="00F07D9D">
            <w:pPr>
              <w:autoSpaceDE w:val="0"/>
              <w:autoSpaceDN w:val="0"/>
              <w:adjustRightInd w:val="0"/>
              <w:spacing w:after="160" w:line="252" w:lineRule="auto"/>
              <w:ind w:left="720"/>
              <w:jc w:val="both"/>
              <w:rPr>
                <w:rFonts w:ascii="Arial" w:hAnsi="Arial" w:cs="Arial"/>
                <w:lang w:eastAsia="es-MX"/>
              </w:rPr>
            </w:pPr>
            <w:r>
              <w:rPr>
                <w:rFonts w:ascii="Arial" w:hAnsi="Arial" w:cs="Arial"/>
                <w:lang w:eastAsia="es-MX"/>
              </w:rPr>
              <w:t>El municipio de Tamazula de Gordiano, Jalisco aplica la normatividad emitida por el CONAC  así mismo cumple con las demás disposiciones legales aplicables vigentes.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6. Políticas de Contabilidad Significativas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Actualización: se informará del método utilizado para la actualización del valor de los activos, pasivos y Hacienda Pública/Patrimonio y las razones de dicha elección. Así como informar de la desconexión o reconexión inflacionaria.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Informar sobre la realización de operaciones en el extranjero y de sus efectos en la información financiera gubernamental.</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Método de valuación de la inversión en acciones de Compañías subsidiarias no consolidadas y asociadas.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Sistema y método de valuación de inventarios y costo de lo vendido.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Beneficios a empleados: revelar el cálculo de la reserva actuarial, valor presente de los ingresos esperados comparado con el valor presente de la estimación de gastos tanto de los beneficiarios actuales como futuros.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Provisiones: objetivo de su creación, monto y plazo.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Reservas: objetivo de su creación, monto y plazo.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Cambios en políticas contables y corrección de errores junto con la revelación de los efectos que se tendrá en la información financiera del ente público, ya sea retrospectivos o prospectivos.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i)</w:t>
            </w:r>
            <w:r>
              <w:rPr>
                <w:rFonts w:ascii="Arial" w:hAnsi="Arial" w:cs="Arial"/>
                <w:lang w:eastAsia="es-MX"/>
              </w:rPr>
              <w:tab/>
              <w:t>Reclasificaciones: se deben revelar todos aquellos movimientos entre cuentas por efectos de cambios en los tipos de operaciones.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j)</w:t>
            </w:r>
            <w:r>
              <w:rPr>
                <w:rFonts w:ascii="Arial" w:hAnsi="Arial" w:cs="Arial"/>
                <w:lang w:eastAsia="es-MX"/>
              </w:rPr>
              <w:tab/>
              <w:t>Depuración y cancelación de saldos.</w:t>
            </w:r>
          </w:p>
          <w:p w:rsidR="00F07D9D" w:rsidRDefault="00F07D9D" w:rsidP="00F07D9D">
            <w:pPr>
              <w:autoSpaceDE w:val="0"/>
              <w:autoSpaceDN w:val="0"/>
              <w:adjustRightInd w:val="0"/>
              <w:spacing w:after="160" w:line="252" w:lineRule="auto"/>
              <w:ind w:left="720"/>
              <w:jc w:val="both"/>
              <w:rPr>
                <w:rFonts w:ascii="Arial" w:hAnsi="Arial" w:cs="Arial"/>
                <w:lang w:eastAsia="es-MX"/>
              </w:rPr>
            </w:pP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7. Posición en Moneda Extranjera y Protección por Riesgo Cambiario.</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informará sobre: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Activos en moneda extranjera.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Pasivos en moneda extranjera.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Posición en moneda extranjera.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Tipo de cambio.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Equivalente en moneda nacional.</w:t>
            </w:r>
          </w:p>
          <w:p w:rsidR="00F07D9D" w:rsidRDefault="00F07D9D" w:rsidP="00F07D9D">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Lo anterior, por cada tipo de moneda extranjera que se encuentre en los rubros de activo y pasivo.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informará sobre los métodos de protección de riesgo por variaciones en el tipo de cambio.</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8. Reporte Analítico del Activo.</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Debe mostrar la siguiente información:</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Vida útil o porcentajes de depreciación, deterioro o amortización utilizados en los diferentes tipos de activos.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Cambios en el porcentaje de depreciación o valor residual de los activos.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Importe de los gastos capitalizados en el ejercicio, tanto financieros como de investigación y desarrollo.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Riesgos por tipo de cambio o tipo de interés de las inversiones financieras.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Valor activado en el ejercicio de los bienes construidos por la entidad.</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f)</w:t>
            </w:r>
            <w:r>
              <w:rPr>
                <w:rFonts w:ascii="Arial" w:hAnsi="Arial" w:cs="Arial"/>
                <w:lang w:eastAsia="es-MX"/>
              </w:rPr>
              <w:tab/>
              <w:t>Otras circunstancias de carácter significativo que afecten el activo, tales como bienes en garantía, señalados en embargos, litigios, títulos de inversiones entregados en garantías, baja significativa del valor de inversiones financieras, etc.</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g)</w:t>
            </w:r>
            <w:r>
              <w:rPr>
                <w:rFonts w:ascii="Arial" w:hAnsi="Arial" w:cs="Arial"/>
                <w:lang w:eastAsia="es-MX"/>
              </w:rPr>
              <w:tab/>
              <w:t>Desmantelamiento de Activos, procedimientos, implicaciones, efectos contables.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h)</w:t>
            </w:r>
            <w:r>
              <w:rPr>
                <w:rFonts w:ascii="Arial" w:hAnsi="Arial" w:cs="Arial"/>
                <w:lang w:eastAsia="es-MX"/>
              </w:rPr>
              <w:tab/>
              <w:t>Administración de activos; planeación con el objetivo de que el ente los utilice de manera más efectiva.</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Adicionalmente, se deben incluir las explicaciones de las principales variaciones en el activo, en cuadros comparativos como sigue:</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Inversiones en valores.</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Patrimonio de Organismos descentralizados de Control Presupuestario Indirecto.</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c)</w:t>
            </w:r>
            <w:r>
              <w:rPr>
                <w:rFonts w:ascii="Arial" w:hAnsi="Arial" w:cs="Arial"/>
                <w:lang w:eastAsia="es-MX"/>
              </w:rPr>
              <w:tab/>
              <w:t>Inversiones en empresas de participación mayoritaria.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d)</w:t>
            </w:r>
            <w:r>
              <w:rPr>
                <w:rFonts w:ascii="Arial" w:hAnsi="Arial" w:cs="Arial"/>
                <w:lang w:eastAsia="es-MX"/>
              </w:rPr>
              <w:tab/>
              <w:t>Inversiones en empresas de participación minoritaria.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e)</w:t>
            </w:r>
            <w:r>
              <w:rPr>
                <w:rFonts w:ascii="Arial" w:hAnsi="Arial" w:cs="Arial"/>
                <w:lang w:eastAsia="es-MX"/>
              </w:rPr>
              <w:tab/>
              <w:t>Patrimonio de organismos descentralizados de control presupuestario directo, según corresponda.</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9. Fideicomisos, Mandatos y Análogos</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Se deberá informar:</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a)</w:t>
            </w:r>
            <w:r>
              <w:rPr>
                <w:rFonts w:ascii="Arial" w:hAnsi="Arial" w:cs="Arial"/>
                <w:lang w:eastAsia="es-MX"/>
              </w:rPr>
              <w:tab/>
              <w:t>Por ramo administrativo que los reporta.</w:t>
            </w: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Enlistar los de mayor monto de disponibilidad, relacionando aquéllos que conforman el 80% de las disponibilidades.</w:t>
            </w: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10. Reporte de la Recaudación</w:t>
            </w:r>
          </w:p>
          <w:p w:rsidR="00F07D9D" w:rsidRDefault="00F07D9D" w:rsidP="00F07D9D">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Análisis del comportamiento de la recaudación correspondiente al ente público o cualquier tipo de ingreso, de forma separada los ingresos locales de los federales. </w:t>
            </w:r>
          </w:p>
          <w:tbl>
            <w:tblPr>
              <w:tblW w:w="0" w:type="auto"/>
              <w:tblCellMar>
                <w:left w:w="70" w:type="dxa"/>
                <w:right w:w="70" w:type="dxa"/>
              </w:tblCellMar>
              <w:tblLook w:val="0000" w:firstRow="0" w:lastRow="0" w:firstColumn="0" w:lastColumn="0" w:noHBand="0" w:noVBand="0"/>
            </w:tblPr>
            <w:tblGrid>
              <w:gridCol w:w="274"/>
              <w:gridCol w:w="682"/>
              <w:gridCol w:w="551"/>
              <w:gridCol w:w="626"/>
              <w:gridCol w:w="573"/>
              <w:gridCol w:w="2448"/>
              <w:gridCol w:w="1729"/>
              <w:gridCol w:w="1729"/>
            </w:tblGrid>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4"/>
                      <w:szCs w:val="24"/>
                      <w:lang w:val="es-419" w:eastAsia="es-MX"/>
                    </w:rPr>
                  </w:pP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688"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r>
                    <w:rPr>
                      <w:rFonts w:cs="Calibri"/>
                      <w:noProof/>
                      <w:lang w:val="es-419" w:eastAsia="es-MX"/>
                    </w:rPr>
                    <w:t xml:space="preserve"> </w:t>
                  </w:r>
                  <w:r>
                    <w:rPr>
                      <w:rFonts w:ascii="Arial" w:hAnsi="Arial" w:cs="Arial"/>
                      <w:noProof/>
                      <w:sz w:val="23"/>
                      <w:szCs w:val="23"/>
                      <w:lang w:val="es-419" w:eastAsia="es-419"/>
                    </w:rPr>
                    <w:drawing>
                      <wp:inline distT="0" distB="0" distL="0" distR="0">
                        <wp:extent cx="666750" cy="80962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 cy="809625"/>
                                </a:xfrm>
                                <a:prstGeom prst="rect">
                                  <a:avLst/>
                                </a:prstGeom>
                                <a:noFill/>
                                <a:ln>
                                  <a:noFill/>
                                </a:ln>
                              </pic:spPr>
                            </pic:pic>
                          </a:graphicData>
                        </a:graphic>
                      </wp:inline>
                    </w:drawing>
                  </w:r>
                  <w:r>
                    <w:rPr>
                      <w:rFonts w:cs="Calibri"/>
                      <w:noProof/>
                      <w:lang w:val="es-419" w:eastAsia="es-MX"/>
                    </w:rPr>
                    <w:t xml:space="preserve"> </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9770"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8"/>
                      <w:szCs w:val="28"/>
                      <w:lang w:val="es-419" w:eastAsia="es-MX"/>
                    </w:rPr>
                  </w:pPr>
                  <w:r>
                    <w:rPr>
                      <w:rFonts w:ascii="Tahoma" w:hAnsi="Tahoma" w:cs="Tahoma"/>
                      <w:color w:val="000000"/>
                      <w:sz w:val="28"/>
                      <w:szCs w:val="28"/>
                      <w:lang w:val="es-419" w:eastAsia="es-MX"/>
                    </w:rPr>
                    <w:t>MUNICIPIO DE TAMAZULA DE GORDIANO, JALISCO.</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8"/>
                      <w:szCs w:val="28"/>
                      <w:lang w:val="es-419" w:eastAsia="es-MX"/>
                    </w:rPr>
                  </w:pPr>
                </w:p>
              </w:tc>
              <w:tc>
                <w:tcPr>
                  <w:tcW w:w="1688"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9770"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4"/>
                      <w:szCs w:val="24"/>
                      <w:lang w:val="es-419" w:eastAsia="es-MX"/>
                    </w:rPr>
                  </w:pPr>
                  <w:r>
                    <w:rPr>
                      <w:rFonts w:ascii="Tahoma" w:hAnsi="Tahoma" w:cs="Tahoma"/>
                      <w:color w:val="000000"/>
                      <w:sz w:val="24"/>
                      <w:szCs w:val="24"/>
                      <w:lang w:val="es-419" w:eastAsia="es-MX"/>
                    </w:rPr>
                    <w:t>Sistema Integral de Contabilidad Gubernamental</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4"/>
                      <w:szCs w:val="24"/>
                      <w:lang w:val="es-419" w:eastAsia="es-MX"/>
                    </w:rPr>
                  </w:pPr>
                </w:p>
              </w:tc>
              <w:tc>
                <w:tcPr>
                  <w:tcW w:w="1688"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9770"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ESTADO ANALITICO DE INGRESOS</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p>
              </w:tc>
              <w:tc>
                <w:tcPr>
                  <w:tcW w:w="1688"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9770"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DEL 1 DE ENERO AL 30 DE JUNIO DE 2020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p>
              </w:tc>
              <w:tc>
                <w:tcPr>
                  <w:tcW w:w="1688"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2529"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Análisis por: Fuente de Financiamiento</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14"/>
                      <w:szCs w:val="14"/>
                      <w:lang w:val="es-419" w:eastAsia="es-MX"/>
                    </w:rPr>
                  </w:pP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N</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Rubro</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Tipo</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Clase</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Conc</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Descripción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Est-Anual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Rec-Anual</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DEL PODER EJECUTIVO FEDERAL O ESTATAL Y DE LOS MUNICIPIOS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17,927,524.00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13,991,177.94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LOS INGRESOS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ESPECTACULOS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ESPECTÁCULOS PÚBLICOS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EL PATRIMONIO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17,889,796.00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13,991,177.94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 PREDIAL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14,200,632.00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9,935,446.64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PREDIOS RUSTICOS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4,190,040.00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2,944,616.88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PREDIOS URBANOS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10,010,592.00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6,990,829.76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 SOBRE TRANSMISIONES PATRIMONIALES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2,762,404.00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4,000,717.93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ADQUISICION DE </w:t>
                  </w:r>
                  <w:r>
                    <w:rPr>
                      <w:rFonts w:ascii="Tahoma" w:hAnsi="Tahoma" w:cs="Tahoma"/>
                      <w:color w:val="000000"/>
                      <w:sz w:val="12"/>
                      <w:szCs w:val="12"/>
                      <w:lang w:val="es-419" w:eastAsia="es-MX"/>
                    </w:rPr>
                    <w:t>DEPARTAMENTOS, VIVIENDAS Y CASAS PARA HABITACION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2,762,404.00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4,000,717.93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NEGOCIOS JURIDICOS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926,760.00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55,013.37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CONSTRUCCION DE INMUEBLES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926,760.00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55,013.37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ACCESORIOS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28,680.00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MULTAS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28,680.00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MULTAS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28,680.00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12,515,000.00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7,111,858.28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DERECHOS POR </w:t>
                  </w:r>
                  <w:r>
                    <w:rPr>
                      <w:rFonts w:ascii="Tahoma" w:hAnsi="Tahoma" w:cs="Tahoma"/>
                      <w:color w:val="000000"/>
                      <w:sz w:val="12"/>
                      <w:szCs w:val="12"/>
                      <w:lang w:val="es-419" w:eastAsia="es-MX"/>
                    </w:rPr>
                    <w:t>EL USO, GOCE, APROVECHAMIENTO O EXPLOTACION DE BIENES DE DOMINIO PUBLICO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2,314,014.95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USO DEL PISO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734,850.00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1,001,618.36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ESTACIONAMIENTOS EXCLUSIVOS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82,848.00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64,273.86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PUESTOS PERMANENTES Y EVENTUALES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652,002.00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937,344.50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ESTACIONAMIENTOS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225,301.00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704,099.48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CONSECION DE ESTACIONAMIENTOS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225,301.00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704,099.48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PANTEONES DE DOMINIO PÚBLICO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570,236.00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608,297.11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LOTES USO PERPETUIDAD Y TEMPORAL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24,018.42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MANTENIMEINTO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541,980.25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VENTA DE GAVETAS Y PERPETUIDAD</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42,298.44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21,236.00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USO, GOCE, APROVECHAMIENTO O </w:t>
                  </w:r>
                  <w:r>
                    <w:rPr>
                      <w:rFonts w:ascii="Tahoma" w:hAnsi="Tahoma" w:cs="Tahoma"/>
                      <w:color w:val="000000"/>
                      <w:sz w:val="12"/>
                      <w:szCs w:val="12"/>
                      <w:lang w:val="es-419" w:eastAsia="es-MX"/>
                    </w:rPr>
                    <w:t>EXPLOTACIÓN DE OTROS BIENES DE DOMINIO PÚBLICO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169,613.00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ARRENDAMIENTO O CONCESIÓN DE LOCALES EN MERCADOS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ARRENDAMIENTO O CONCESIÓN DE ESCUSADOS Y BAÑOS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54,613.00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 POR PRESTACION DE SERVICIOS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10,500,000.00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4,784,348.18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Y PERMISOS DE GIROS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705,512.00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1,039,713.02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12"/>
                      <w:szCs w:val="12"/>
                      <w:lang w:val="es-419" w:eastAsia="es-MX"/>
                    </w:rPr>
                  </w:pPr>
                  <w:r>
                    <w:rPr>
                      <w:rFonts w:ascii="Tahoma" w:hAnsi="Tahoma" w:cs="Tahoma"/>
                      <w:color w:val="000000"/>
                      <w:sz w:val="12"/>
                      <w:szCs w:val="12"/>
                      <w:lang w:val="es-419" w:eastAsia="es-MX"/>
                    </w:rPr>
                    <w:t>LICENCIAS, PERMISOS O AUTORIZACIÓN DE GIROS CON VENTA DE BEBIDAS ALCOHÓLICAS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243,307.00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419,703.67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LICENCIAS, PERMISOS O </w:t>
                  </w:r>
                  <w:r>
                    <w:rPr>
                      <w:rFonts w:ascii="Tahoma" w:hAnsi="Tahoma" w:cs="Tahoma"/>
                      <w:color w:val="000000"/>
                      <w:sz w:val="12"/>
                      <w:szCs w:val="12"/>
                      <w:lang w:val="es-419" w:eastAsia="es-MX"/>
                    </w:rPr>
                    <w:t>AUTORIZACIÓN DE GIROS CON SERVICIOS DE BEBIDAS ALCOHÓLICAS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70,763.00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39,370.21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12"/>
                      <w:szCs w:val="12"/>
                      <w:lang w:val="es-419" w:eastAsia="es-MX"/>
                    </w:rPr>
                    <w:t>LICENCIAS, PERMISOS O AUTORIZACIÓN DE OTROS CONCEPTOS DISTINTOS A LOS ANTERIORES GIROS CON BE</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391,442.00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580,639.14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Y PERMISOS DE ANUNCIOS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623,264.00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389,024.00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Y PERMISOS DE ANUNCIOS PERMANENTES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610,992.00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388,654.00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Y PERMISOS DE ANUNCIOS EVENTUALES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12,272.00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370.00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LICENCIAS DE </w:t>
                  </w:r>
                  <w:r>
                    <w:rPr>
                      <w:rFonts w:ascii="Tahoma" w:hAnsi="Tahoma" w:cs="Tahoma"/>
                      <w:color w:val="000000"/>
                      <w:sz w:val="12"/>
                      <w:szCs w:val="12"/>
                      <w:lang w:val="es-419" w:eastAsia="es-MX"/>
                    </w:rPr>
                    <w:t>CONSTRUCCION, RECONSTRUCCION, REPARACION O DEMOLICION DE OBRAS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627,536.00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207,930.28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DE CONTRUCCION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344,337.00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146,874.32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PARA DEMOLICION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5,776.00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510.61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PARA REMODELACION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20,065.00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11,241.21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LICENCIAS PARA RECONSTRUCCION, REESTRUCTURACION </w:t>
                  </w:r>
                  <w:r>
                    <w:rPr>
                      <w:rFonts w:ascii="Tahoma" w:hAnsi="Tahoma" w:cs="Tahoma"/>
                      <w:color w:val="000000"/>
                      <w:sz w:val="12"/>
                      <w:szCs w:val="12"/>
                      <w:lang w:val="es-419" w:eastAsia="es-MX"/>
                    </w:rPr>
                    <w:t>O ADAPTACION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670.00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PARA OCUPACION PROVISIONAL DEN LA VIA PUBLICA</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4,230.00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1,700.00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SIMILARES NO PREVISTAS EN LAS ANTERIORES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252,458.00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47,604.14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ALINEAMIENTO, DESIGNACIÓN DE NÚMERO OFICIAL E INSPECCIÓN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55,208.00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ALINEAMIENTO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31,208.00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 NO DOMESTICO DE CUOTA FIJA</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INSPECCIÓN DE VALOR SOBRE INMUEBLES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DE CAMBIO DE REGIMEN DE PROPIEDAD Y URBANIZACION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69,600.00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8,334.00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LICENCIAS DE CAMBIO DE REGIMEN DE PROPIEDAD</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2,267.44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LICENCIA DE URBANIZACIÓN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6,066.56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PERITAJE, DICTAMEN E INSPECCIÓN DE CARÁCTER EXTRAORDINARIO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21,600.00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POR OBRAS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6,789.31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MEDICIÓN DE TERRENOS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5,367.82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AUTORIZACIÓN PARA ROMPER PAVIMENTO, BANQUETAS O MACHUELOS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1,421.49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REGULARIZACIONES DE REGISTRO DE OBRA</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90,700.00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REGULARIZACION </w:t>
                  </w:r>
                  <w:r>
                    <w:rPr>
                      <w:rFonts w:ascii="Tahoma" w:hAnsi="Tahoma" w:cs="Tahoma"/>
                      <w:color w:val="000000"/>
                      <w:sz w:val="12"/>
                      <w:szCs w:val="12"/>
                      <w:lang w:val="es-419" w:eastAsia="es-MX"/>
                    </w:rPr>
                    <w:t>DE PREDIOS EN ZONAS DE ORIGEN EJIDAL DESTINADOS AL USO DE CASA HABITACION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90,700.00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SANIDAD</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1,900,896.00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127,359.88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INHUMACIONES Y REINUMACIONES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1,553,088.00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117,676.23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EXHUMACIONES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319,248.00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8,550.28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TRASLADO DE CADAVERES FUERA DEL MUNICIPIO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28,560.00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1,133.37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SERVICIO DE </w:t>
                  </w:r>
                  <w:r>
                    <w:rPr>
                      <w:rFonts w:ascii="Tahoma" w:hAnsi="Tahoma" w:cs="Tahoma"/>
                      <w:color w:val="000000"/>
                      <w:sz w:val="12"/>
                      <w:szCs w:val="12"/>
                      <w:lang w:val="es-419" w:eastAsia="es-MX"/>
                    </w:rPr>
                    <w:t>LIMPIEZA, RECOLECCION, TRASLADO, TRATAMIENTO Y DISPOSICION FINAL DE RESIDUOS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2,138,892.00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RECOLECCION Y </w:t>
                  </w:r>
                  <w:r>
                    <w:rPr>
                      <w:rFonts w:ascii="Tahoma" w:hAnsi="Tahoma" w:cs="Tahoma"/>
                      <w:color w:val="000000"/>
                      <w:sz w:val="12"/>
                      <w:szCs w:val="12"/>
                      <w:lang w:val="es-419" w:eastAsia="es-MX"/>
                    </w:rPr>
                    <w:t>TRASLADO DE BASURA, DERECHOS O DESPERDICIOS NO PELIGROSOS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958,752.00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SERVICIOS SIMILARES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1,180,140.00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AGUA </w:t>
                  </w:r>
                  <w:r>
                    <w:rPr>
                      <w:rFonts w:ascii="Tahoma" w:hAnsi="Tahoma" w:cs="Tahoma"/>
                      <w:color w:val="000000"/>
                      <w:sz w:val="12"/>
                      <w:szCs w:val="12"/>
                      <w:lang w:val="es-419" w:eastAsia="es-MX"/>
                    </w:rPr>
                    <w:t>POTABLE, DRENAJE, ALCANTARILLADO, TRATAMIENTO Y DISPOSICION FINAL DE AGUAS RESIDUALES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2,170,236.00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729,434.37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 DOMESTICO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1,135,080.00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EN LOCALIDADES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461,772.00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351,216.31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 PARA SANEAMIENTO DE AGUAS RESIDUALES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391,932.00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254,516.67</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 Y 3% PARA INFRAESTRUCTURA BASICA EXISTENTE</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99,528.00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24,013.19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CONEXION O RECONEXION DE SERVICIO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81,924.00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99,688.20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RASTRO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1,700,868.00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1,237,755.50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ACARREO DE CARNES EN CAMIONES DEL MUNICIPIO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187,320.00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10,742.04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MATANZA EN EL RASTRO MUNICIPAL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1,513,548.00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1,227,013.46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REGISTRO CIVIL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68,888.80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EN OFICINA FUERA DEL HORARIO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68,888.80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CERTIFICACIONES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251,496.00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886,827.89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EXPEDICIÓN DE CERTIFICADOS, </w:t>
                  </w:r>
                  <w:r>
                    <w:rPr>
                      <w:rFonts w:ascii="Tahoma" w:hAnsi="Tahoma" w:cs="Tahoma"/>
                      <w:color w:val="000000"/>
                      <w:sz w:val="12"/>
                      <w:szCs w:val="12"/>
                      <w:lang w:val="es-419" w:eastAsia="es-MX"/>
                    </w:rPr>
                    <w:t>CERTIFICACIONES, CONSTANCIAS O COPIAS CERTIFICADAS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228,864.00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830,103.83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DICTÁMENES DE TRAZO, USO Y DESTINO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22,632.00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56,724.06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DE CATASTRO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165,792.00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82,291.13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CERTIFICACIONES CATASTRALES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13,812.00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288.00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REVISIÓN Y AUTORIZACIÓN DE AVALÚOS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151,980.00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82,003.13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DERECHOS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13,495.15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 NO ESPECIFICADOS (41440-5)</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13,495.15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SERVICIOS NO ESPECIFICADOS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13,495.15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ACCESORIOS DE LOS DERECHOS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RECARGOS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FALTA DE PAGO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MULTAS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INFRACCIONES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ACTUALIZACIONES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ACTUALIZACIONES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3,452,260.79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DE TIPO CORRIENTE</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3,452,260.79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USO, GOCE, APROVECHAMIENTO O </w:t>
                  </w:r>
                  <w:r>
                    <w:rPr>
                      <w:rFonts w:ascii="Tahoma" w:hAnsi="Tahoma" w:cs="Tahoma"/>
                      <w:color w:val="000000"/>
                      <w:sz w:val="12"/>
                      <w:szCs w:val="12"/>
                      <w:lang w:val="es-419" w:eastAsia="es-MX"/>
                    </w:rPr>
                    <w:t>EXPLOTACIÓN DE OTROS BIENES DE DOMINIO PÚBLICO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4,645,000.00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344,258.61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ARRENDAMIENTO O CONCESIÓN DE LOCALES EN MERCADOS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2,824,864.00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132,684.28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ARRENDAMIENTO O CONCESIÓN DE ESCUSADOS Y BAÑOS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6,374.33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ARRENDAMIENTOS O CONCESIONES DE BIENES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1,820,136.00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205,200.00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DIVERSOS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4,355,000.00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3,108,002.18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FORMAS Y EDICIONES IMPRESAS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2,045,036.00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459,958.49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O UTILIDADES DE TALLERES Y CENTROS DE TRABAJO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19,621.00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VENTA DE PRODUCTOS PROCEDENTES DE VIVEROS Y JARDINES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35,304.00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4,369.79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PRODUCTOS NO ESPECIFICADOS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2,274,660.00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2,624,052.90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11,792,508.88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 DE TIPO CORRIENTE</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11,792,508.88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MULTAS (41620)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361,814.63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MULTAS, INFRACCIONES (41620-1)</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361,814.63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ACCSESORIOS DE APROVECHAMIENTO (41680)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199,780.23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RECARGOS (41680-1)</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199,313.14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GASTOS DE EJECUCION (41680-4)</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467.09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APROVECHAMIENTOS (41690)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11,230,914.02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APROVECHAMIENTOS (41690-1)</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11,230,914.02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APORVECHAMIENTOS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APROVECHAMIENTOS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99</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APROVECHAMIENTOS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Y APORTACIONES.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133,470,000.00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112,480,852.60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95,000,000.00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77,158,333.33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FEDERALES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93,170,828.00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72,689,291.33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FONDO GENERAL DE PARTICIPACION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62,720,696.00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55,143,142.24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FONDO DE FOMENTO MUNICIPAL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18,698,136.00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8,004,829.38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FONDO DE FISCALIZACION Y RECAUDACION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2,601,348.00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1,991,036.78</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 ESPECIAL SOBRE PRODUCCION Y SERVICIOS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1,464,780.00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1,098,571.74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09</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GASOLINA Y DIESEL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1,972,368.00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1,095,845.19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FONDO DEL IMPUESTO SOBRE LA RENTA</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5,713,500.00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5,355,866.00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ESTATALES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1,829,172.00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4,469,042.00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DEL ESTADO</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1,829,172.00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4,469,042.00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APORTACIONES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38,000,000.00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33,652,339.16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APORTACIONES FEDERALES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38,000,000.00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33,652,339.16</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DEL FONDO DE INFRAESTRUCTURA SOCIAL MUNICIPAL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10,750,452.00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10,421,899.81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DEL FONDO PARA EL FORTALECIMIENTO MUNICIPAL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27,249,548.00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22,901,194.13</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APORTAC. FED. P/OBRAS PUB. Y SERV. SOC.</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329,245.22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CONVENIOS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758,492.00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CONVENIOS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758,492.00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CONVENIOS DE REASIGNACION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470,000.00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OTROS CONVENIOS Y SUBSIDIOS </w:t>
                  </w:r>
                  <w:r>
                    <w:rPr>
                      <w:rFonts w:ascii="Tahoma" w:hAnsi="Tahoma" w:cs="Tahoma"/>
                      <w:color w:val="000000"/>
                      <w:sz w:val="12"/>
                      <w:szCs w:val="12"/>
                      <w:lang w:val="es-419" w:eastAsia="es-MX"/>
                    </w:rPr>
                    <w:t>(CON INGRESOS DE LIBRE DISPOSICION)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66,492.00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OTROS CONVENIOS Y SUBSIDIOS </w:t>
                  </w:r>
                  <w:r>
                    <w:rPr>
                      <w:rFonts w:ascii="Tahoma" w:hAnsi="Tahoma" w:cs="Tahoma"/>
                      <w:color w:val="000000"/>
                      <w:sz w:val="12"/>
                      <w:szCs w:val="12"/>
                      <w:lang w:val="es-419" w:eastAsia="es-MX"/>
                    </w:rPr>
                    <w:t>(CON INGRESOS ETIQUETADOS ESTATALES)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692,000.00</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INCENTIVOS DERIVADOS DE LA COLABORACION FISCAL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911,688.11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INCENTIVOS DERIVADOS DE LA COLABORACION FISCAL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911,688.11</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TENENCIA O USO DE VEHÍCULOS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1,335.54</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FONDO DE COMPENSACIÓN ISAN</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112,953.15</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 SOBRE AUTOMÓVILES NUEVOS</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797,399.42</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 SUBTOTAL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173,375,524.00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148,828,658.49</w:t>
                  </w:r>
                </w:p>
              </w:tc>
            </w:tr>
            <w:tr w:rsidR="00F07D9D">
              <w:tblPrEx>
                <w:tblCellMar>
                  <w:top w:w="0" w:type="dxa"/>
                  <w:bottom w:w="0" w:type="dxa"/>
                </w:tblCellMar>
              </w:tblPrEx>
              <w:tc>
                <w:tcPr>
                  <w:tcW w:w="274"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p>
              </w:tc>
              <w:tc>
                <w:tcPr>
                  <w:tcW w:w="842"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4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573"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6312"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173,375,524.00</w:t>
                  </w:r>
                </w:p>
              </w:tc>
              <w:tc>
                <w:tcPr>
                  <w:tcW w:w="1729"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148,828,658.49</w:t>
                  </w:r>
                </w:p>
              </w:tc>
            </w:tr>
          </w:tbl>
          <w:p w:rsidR="00F07D9D" w:rsidRDefault="00F07D9D" w:rsidP="00F07D9D">
            <w:pPr>
              <w:autoSpaceDE w:val="0"/>
              <w:autoSpaceDN w:val="0"/>
              <w:adjustRightInd w:val="0"/>
              <w:spacing w:after="0" w:line="240" w:lineRule="auto"/>
              <w:ind w:left="720"/>
              <w:jc w:val="both"/>
              <w:rPr>
                <w:rFonts w:ascii="Arial" w:hAnsi="Arial" w:cs="Arial"/>
                <w:color w:val="000000"/>
                <w:lang w:eastAsia="es-MX"/>
              </w:rPr>
            </w:pPr>
          </w:p>
          <w:p w:rsidR="00F07D9D" w:rsidRDefault="00F07D9D" w:rsidP="00F07D9D">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b)</w:t>
            </w:r>
            <w:r>
              <w:rPr>
                <w:rFonts w:ascii="Arial" w:hAnsi="Arial" w:cs="Arial"/>
                <w:lang w:eastAsia="es-MX"/>
              </w:rPr>
              <w:tab/>
              <w:t>Proyección de la recaudación e ingresos en el mediano plazo.</w:t>
            </w:r>
          </w:p>
          <w:p w:rsidR="00F07D9D" w:rsidRDefault="00F07D9D" w:rsidP="00F07D9D">
            <w:pPr>
              <w:autoSpaceDE w:val="0"/>
              <w:autoSpaceDN w:val="0"/>
              <w:adjustRightInd w:val="0"/>
              <w:spacing w:after="160" w:line="252" w:lineRule="auto"/>
              <w:ind w:left="720"/>
              <w:jc w:val="both"/>
              <w:rPr>
                <w:rFonts w:ascii="Arial" w:hAnsi="Arial" w:cs="Arial"/>
                <w:lang w:eastAsia="es-MX"/>
              </w:rPr>
            </w:pPr>
          </w:p>
          <w:tbl>
            <w:tblPr>
              <w:tblW w:w="0" w:type="auto"/>
              <w:tblCellMar>
                <w:left w:w="70" w:type="dxa"/>
                <w:right w:w="70" w:type="dxa"/>
              </w:tblCellMar>
              <w:tblLook w:val="0000" w:firstRow="0" w:lastRow="0" w:firstColumn="0" w:lastColumn="0" w:noHBand="0" w:noVBand="0"/>
            </w:tblPr>
            <w:tblGrid>
              <w:gridCol w:w="274"/>
              <w:gridCol w:w="667"/>
              <w:gridCol w:w="522"/>
              <w:gridCol w:w="4103"/>
              <w:gridCol w:w="1523"/>
              <w:gridCol w:w="1523"/>
            </w:tblGrid>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4"/>
                      <w:szCs w:val="24"/>
                      <w:lang w:val="es-419" w:eastAsia="es-MX"/>
                    </w:rPr>
                  </w:pP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126"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r>
                    <w:rPr>
                      <w:rFonts w:cs="Calibri"/>
                      <w:noProof/>
                      <w:lang w:val="es-419" w:eastAsia="es-MX"/>
                    </w:rPr>
                    <w:t xml:space="preserve"> </w:t>
                  </w:r>
                  <w:r>
                    <w:rPr>
                      <w:rFonts w:ascii="Arial" w:hAnsi="Arial" w:cs="Arial"/>
                      <w:noProof/>
                      <w:sz w:val="23"/>
                      <w:szCs w:val="23"/>
                      <w:lang w:val="es-419" w:eastAsia="es-419"/>
                    </w:rPr>
                    <w:drawing>
                      <wp:inline distT="0" distB="0" distL="0" distR="0">
                        <wp:extent cx="666750" cy="809625"/>
                        <wp:effectExtent l="0" t="0" r="0" b="95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750" cy="809625"/>
                                </a:xfrm>
                                <a:prstGeom prst="rect">
                                  <a:avLst/>
                                </a:prstGeom>
                                <a:noFill/>
                                <a:ln>
                                  <a:noFill/>
                                </a:ln>
                              </pic:spPr>
                            </pic:pic>
                          </a:graphicData>
                        </a:graphic>
                      </wp:inline>
                    </w:drawing>
                  </w:r>
                </w:p>
              </w:tc>
              <w:tc>
                <w:tcPr>
                  <w:tcW w:w="11755"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8"/>
                      <w:szCs w:val="28"/>
                      <w:lang w:val="es-419" w:eastAsia="es-MX"/>
                    </w:rPr>
                  </w:pPr>
                  <w:r>
                    <w:rPr>
                      <w:rFonts w:ascii="Tahoma" w:hAnsi="Tahoma" w:cs="Tahoma"/>
                      <w:color w:val="000000"/>
                      <w:sz w:val="28"/>
                      <w:szCs w:val="28"/>
                      <w:lang w:val="es-419" w:eastAsia="es-MX"/>
                    </w:rPr>
                    <w:t>MUNICIPIO DE TAMAZULA DE GORDIANO, JALISCO.</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8"/>
                      <w:szCs w:val="28"/>
                      <w:lang w:val="es-419" w:eastAsia="es-MX"/>
                    </w:rPr>
                  </w:pPr>
                </w:p>
              </w:tc>
              <w:tc>
                <w:tcPr>
                  <w:tcW w:w="1126"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11755"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4"/>
                      <w:szCs w:val="24"/>
                      <w:lang w:val="es-419" w:eastAsia="es-MX"/>
                    </w:rPr>
                  </w:pPr>
                  <w:r>
                    <w:rPr>
                      <w:rFonts w:ascii="Tahoma" w:hAnsi="Tahoma" w:cs="Tahoma"/>
                      <w:color w:val="000000"/>
                      <w:sz w:val="24"/>
                      <w:szCs w:val="24"/>
                      <w:lang w:val="es-419" w:eastAsia="es-MX"/>
                    </w:rPr>
                    <w:t>Sistema Integral de Contabilidad Gubernamental</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4"/>
                      <w:szCs w:val="24"/>
                      <w:lang w:val="es-419" w:eastAsia="es-MX"/>
                    </w:rPr>
                  </w:pPr>
                </w:p>
              </w:tc>
              <w:tc>
                <w:tcPr>
                  <w:tcW w:w="1126"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11755"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ESTADO ANALITICO DE INGRESOS</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p>
              </w:tc>
              <w:tc>
                <w:tcPr>
                  <w:tcW w:w="1126"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11755"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DEL 1 DE ENERO AL 30 DE JUNIO DE 2020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p>
              </w:tc>
              <w:tc>
                <w:tcPr>
                  <w:tcW w:w="1126" w:type="dxa"/>
                  <w:gridSpan w:val="2"/>
                  <w:tcBorders>
                    <w:top w:val="nil"/>
                    <w:left w:val="nil"/>
                    <w:bottom w:val="nil"/>
                    <w:right w:val="nil"/>
                  </w:tcBorders>
                </w:tcPr>
                <w:p w:rsidR="00F07D9D" w:rsidRDefault="00F07D9D" w:rsidP="00F07D9D">
                  <w:pPr>
                    <w:autoSpaceDE w:val="0"/>
                    <w:autoSpaceDN w:val="0"/>
                    <w:adjustRightInd w:val="0"/>
                    <w:spacing w:after="0" w:line="252" w:lineRule="auto"/>
                    <w:rPr>
                      <w:rFonts w:ascii="Arial" w:hAnsi="Arial" w:cs="Arial"/>
                      <w:color w:val="000000"/>
                      <w:sz w:val="20"/>
                      <w:szCs w:val="20"/>
                      <w:lang w:val="es-419" w:eastAsia="es-MX"/>
                    </w:rPr>
                  </w:pP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0027" w:type="dxa"/>
                  <w:gridSpan w:val="3"/>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14"/>
                      <w:szCs w:val="14"/>
                      <w:lang w:val="es-419" w:eastAsia="es-MX"/>
                    </w:rPr>
                  </w:pPr>
                  <w:r>
                    <w:rPr>
                      <w:rFonts w:ascii="Tahoma" w:hAnsi="Tahoma" w:cs="Tahoma"/>
                      <w:color w:val="000000"/>
                      <w:sz w:val="14"/>
                      <w:szCs w:val="14"/>
                      <w:lang w:val="es-419" w:eastAsia="es-MX"/>
                    </w:rPr>
                    <w:t>Análisis por: Clasificación por Rubro de Ingresos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14"/>
                      <w:szCs w:val="14"/>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N</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Rubro</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Tipo</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Descripción</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Est-Anual</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Rec-Anual</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17,927,524.00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13,991,177.94</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LOS INGRESOS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9,048.00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IMPUESTOS SOBRE EL PATRIMONIO</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17,889,796.00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13,991,177.94</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07</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ACCESORIOS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28,680.00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12,515,000.00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7,126,219.28</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 xml:space="preserve">DERECHOS POR EL USO, GOCE, APROVECHAMIENTO O EXPLOTACION DE BIENES DE DOMINIO </w:t>
                  </w:r>
                  <w:r>
                    <w:rPr>
                      <w:rFonts w:ascii="Tahoma" w:hAnsi="Tahoma" w:cs="Tahoma"/>
                      <w:color w:val="000000"/>
                      <w:sz w:val="12"/>
                      <w:szCs w:val="12"/>
                      <w:lang w:val="es-419" w:eastAsia="es-MX"/>
                    </w:rPr>
                    <w:t>PUBLICO</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1,700,000.00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2,314,014.95</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DERECHOS POR PRESTACION DE SERVICIOS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10,500,000.00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4,798,709.18</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DERECHOS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13,495.15</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ACCESORIOS DE LOS DERECHOS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3,452,260.79</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05</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PRODUCTOS DE TIPO CORRIENTE</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9,000,000.00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3,452,260.79</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463,000.00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11,792,508.88</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APROVECHAMIENTOS DE TIPO CORRIENTE</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11,792,508.88</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06</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APORVECHAMIENTOS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450,000.00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 Y APORTACIONES.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133,470,000.00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113,457,698.83</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01</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PARTICIPACIONES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95,000,000.00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78,040,244.56</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02</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APORTACIONES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38,000,000.00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33,747,274.16</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03</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CONVENIOS</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470,000.00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758,492.00</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w:t>
                  </w: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08</w:t>
                  </w: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04</w:t>
                  </w: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INCENTIVOS DERIVADOS DE LA COLABORACION FISCAL</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0.00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911,688.11</w:t>
                  </w:r>
                </w:p>
              </w:tc>
            </w:tr>
            <w:tr w:rsidR="00F07D9D">
              <w:tblPrEx>
                <w:tblCellMar>
                  <w:top w:w="0" w:type="dxa"/>
                  <w:bottom w:w="0" w:type="dxa"/>
                </w:tblCellMar>
              </w:tblPrEx>
              <w:tc>
                <w:tcPr>
                  <w:tcW w:w="265"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color w:val="000000"/>
                      <w:sz w:val="20"/>
                      <w:szCs w:val="20"/>
                      <w:lang w:val="es-419" w:eastAsia="es-MX"/>
                    </w:rPr>
                  </w:pPr>
                </w:p>
              </w:tc>
              <w:tc>
                <w:tcPr>
                  <w:tcW w:w="630"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496" w:type="dxa"/>
                  <w:tcBorders>
                    <w:top w:val="nil"/>
                    <w:left w:val="nil"/>
                    <w:bottom w:val="nil"/>
                    <w:right w:val="nil"/>
                  </w:tcBorders>
                </w:tcPr>
                <w:p w:rsidR="00F07D9D" w:rsidRDefault="00F07D9D" w:rsidP="00F07D9D">
                  <w:pPr>
                    <w:autoSpaceDE w:val="0"/>
                    <w:autoSpaceDN w:val="0"/>
                    <w:adjustRightInd w:val="0"/>
                    <w:spacing w:after="0" w:line="252" w:lineRule="auto"/>
                    <w:rPr>
                      <w:rFonts w:ascii="Times New Roman" w:hAnsi="Times New Roman"/>
                      <w:sz w:val="20"/>
                      <w:szCs w:val="20"/>
                      <w:lang w:val="es-419" w:eastAsia="es-MX"/>
                    </w:rPr>
                  </w:pPr>
                </w:p>
              </w:tc>
              <w:tc>
                <w:tcPr>
                  <w:tcW w:w="8901"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16"/>
                      <w:szCs w:val="16"/>
                      <w:lang w:val="es-419" w:eastAsia="es-MX"/>
                    </w:rPr>
                  </w:pPr>
                  <w:r>
                    <w:rPr>
                      <w:rFonts w:ascii="Tahoma" w:hAnsi="Tahoma" w:cs="Tahoma"/>
                      <w:b/>
                      <w:bCs/>
                      <w:color w:val="000000"/>
                      <w:sz w:val="16"/>
                      <w:szCs w:val="16"/>
                      <w:lang w:val="es-419" w:eastAsia="es-MX"/>
                    </w:rPr>
                    <w:t>173,375,524.00</w:t>
                  </w:r>
                </w:p>
              </w:tc>
              <w:tc>
                <w:tcPr>
                  <w:tcW w:w="1427" w:type="dxa"/>
                  <w:tcBorders>
                    <w:top w:val="nil"/>
                    <w:left w:val="nil"/>
                    <w:bottom w:val="nil"/>
                    <w:right w:val="nil"/>
                  </w:tcBorders>
                </w:tcPr>
                <w:p w:rsidR="00F07D9D" w:rsidRDefault="00F07D9D" w:rsidP="00F07D9D">
                  <w:pPr>
                    <w:autoSpaceDE w:val="0"/>
                    <w:autoSpaceDN w:val="0"/>
                    <w:adjustRightInd w:val="0"/>
                    <w:spacing w:after="0" w:line="252" w:lineRule="auto"/>
                    <w:rPr>
                      <w:rFonts w:ascii="Tahoma" w:hAnsi="Tahoma" w:cs="Tahoma"/>
                      <w:b/>
                      <w:bCs/>
                      <w:color w:val="000000"/>
                      <w:sz w:val="16"/>
                      <w:szCs w:val="16"/>
                      <w:lang w:val="es-419" w:eastAsia="es-MX"/>
                    </w:rPr>
                  </w:pPr>
                  <w:r>
                    <w:rPr>
                      <w:rFonts w:ascii="Tahoma" w:hAnsi="Tahoma" w:cs="Tahoma"/>
                      <w:b/>
                      <w:bCs/>
                      <w:color w:val="000000"/>
                      <w:sz w:val="16"/>
                      <w:szCs w:val="16"/>
                      <w:lang w:val="es-419" w:eastAsia="es-MX"/>
                    </w:rPr>
                    <w:t>149,819,865.72</w:t>
                  </w:r>
                </w:p>
              </w:tc>
            </w:tr>
          </w:tbl>
          <w:p w:rsidR="00F07D9D" w:rsidRDefault="00F07D9D" w:rsidP="00F07D9D">
            <w:pPr>
              <w:autoSpaceDE w:val="0"/>
              <w:autoSpaceDN w:val="0"/>
              <w:adjustRightInd w:val="0"/>
              <w:spacing w:after="160" w:line="252" w:lineRule="auto"/>
              <w:ind w:left="720"/>
              <w:jc w:val="both"/>
              <w:rPr>
                <w:rFonts w:ascii="Arial" w:hAnsi="Arial" w:cs="Arial"/>
                <w:lang w:eastAsia="es-MX"/>
              </w:rPr>
            </w:pPr>
          </w:p>
          <w:p w:rsidR="00F07D9D" w:rsidRDefault="00F07D9D" w:rsidP="00F07D9D">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11. Información sobre la Deuda y el Reporte Analítico de la Deuda</w:t>
            </w:r>
          </w:p>
          <w:p w:rsidR="00F07D9D" w:rsidRDefault="00F07D9D" w:rsidP="00F07D9D">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Utilizar al menos los siguientes indicadores: deuda respecto al PIB y deuda respecto a la recaudación tomando, como mínimo, un período igual o menor a 5 años. </w:t>
            </w:r>
          </w:p>
          <w:p w:rsidR="00F07D9D" w:rsidRDefault="00F07D9D" w:rsidP="00F07D9D">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Información de manera agrupada por tipo de valor gubernamental o instrumento financiero en la que se consideren intereses, comisiones, tasa, perfil de vencimiento y otros gastos de la deuda.</w:t>
            </w:r>
          </w:p>
          <w:p w:rsidR="00F07D9D" w:rsidRDefault="00F07D9D" w:rsidP="00F07D9D">
            <w:pPr>
              <w:autoSpaceDE w:val="0"/>
              <w:autoSpaceDN w:val="0"/>
              <w:adjustRightInd w:val="0"/>
              <w:spacing w:after="0" w:line="240" w:lineRule="auto"/>
              <w:jc w:val="both"/>
              <w:rPr>
                <w:rFonts w:ascii="Arial" w:hAnsi="Arial" w:cs="Arial"/>
                <w:b/>
                <w:bCs/>
                <w:color w:val="000000"/>
                <w:lang w:eastAsia="es-MX"/>
              </w:rPr>
            </w:pPr>
          </w:p>
          <w:p w:rsidR="00F07D9D" w:rsidRDefault="00F07D9D" w:rsidP="00F07D9D">
            <w:pPr>
              <w:autoSpaceDE w:val="0"/>
              <w:autoSpaceDN w:val="0"/>
              <w:adjustRightInd w:val="0"/>
              <w:spacing w:after="0" w:line="240" w:lineRule="auto"/>
              <w:jc w:val="both"/>
              <w:rPr>
                <w:rFonts w:ascii="Arial" w:hAnsi="Arial" w:cs="Arial"/>
                <w:b/>
                <w:bCs/>
                <w:color w:val="000000"/>
                <w:lang w:eastAsia="es-MX"/>
              </w:rPr>
            </w:pPr>
            <w:r>
              <w:rPr>
                <w:rFonts w:ascii="Arial" w:hAnsi="Arial" w:cs="Arial"/>
                <w:noProof/>
                <w:sz w:val="23"/>
                <w:szCs w:val="23"/>
                <w:lang w:val="es-419" w:eastAsia="es-419"/>
              </w:rPr>
              <w:drawing>
                <wp:inline distT="0" distB="0" distL="0" distR="0">
                  <wp:extent cx="8210550" cy="48387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210550" cy="4838700"/>
                          </a:xfrm>
                          <a:prstGeom prst="rect">
                            <a:avLst/>
                          </a:prstGeom>
                          <a:noFill/>
                          <a:ln>
                            <a:noFill/>
                          </a:ln>
                        </pic:spPr>
                      </pic:pic>
                    </a:graphicData>
                  </a:graphic>
                </wp:inline>
              </w:drawing>
            </w:r>
          </w:p>
          <w:p w:rsidR="00F07D9D" w:rsidRDefault="00F07D9D" w:rsidP="00F07D9D">
            <w:pPr>
              <w:autoSpaceDE w:val="0"/>
              <w:autoSpaceDN w:val="0"/>
              <w:adjustRightInd w:val="0"/>
              <w:spacing w:after="0" w:line="240" w:lineRule="auto"/>
              <w:jc w:val="both"/>
              <w:rPr>
                <w:rFonts w:ascii="Arial" w:hAnsi="Arial" w:cs="Arial"/>
                <w:b/>
                <w:bCs/>
                <w:color w:val="000000"/>
                <w:lang w:eastAsia="es-MX"/>
              </w:rPr>
            </w:pPr>
          </w:p>
          <w:p w:rsidR="00F07D9D" w:rsidRDefault="00F07D9D" w:rsidP="00F07D9D">
            <w:pPr>
              <w:autoSpaceDE w:val="0"/>
              <w:autoSpaceDN w:val="0"/>
              <w:adjustRightInd w:val="0"/>
              <w:spacing w:after="0" w:line="240" w:lineRule="auto"/>
              <w:jc w:val="both"/>
              <w:rPr>
                <w:rFonts w:ascii="Arial" w:hAnsi="Arial" w:cs="Arial"/>
                <w:b/>
                <w:bCs/>
                <w:color w:val="000000"/>
                <w:lang w:eastAsia="es-MX"/>
              </w:rPr>
            </w:pPr>
            <w:r>
              <w:rPr>
                <w:rFonts w:ascii="Arial" w:hAnsi="Arial" w:cs="Arial"/>
                <w:b/>
                <w:bCs/>
                <w:color w:val="000000"/>
                <w:lang w:eastAsia="es-MX"/>
              </w:rPr>
              <w:t>12. Calificaciones otorgadas</w:t>
            </w:r>
          </w:p>
          <w:p w:rsidR="00F07D9D" w:rsidRDefault="00F07D9D" w:rsidP="00F07D9D">
            <w:pPr>
              <w:autoSpaceDE w:val="0"/>
              <w:autoSpaceDN w:val="0"/>
              <w:adjustRightInd w:val="0"/>
              <w:spacing w:after="0" w:line="240" w:lineRule="auto"/>
              <w:jc w:val="both"/>
              <w:rPr>
                <w:rFonts w:ascii="Arial" w:hAnsi="Arial" w:cs="Arial"/>
                <w:b/>
                <w:bCs/>
                <w:color w:val="000000"/>
                <w:lang w:eastAsia="es-MX"/>
              </w:rPr>
            </w:pPr>
          </w:p>
          <w:p w:rsidR="00F07D9D" w:rsidRDefault="00F07D9D" w:rsidP="00F07D9D">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Informar, tanto del ente público como cualquier transacción realizada, que haya sido sujeta a una calificación crediticia.</w:t>
            </w:r>
          </w:p>
          <w:p w:rsidR="00F07D9D" w:rsidRDefault="00F07D9D" w:rsidP="00F07D9D">
            <w:pPr>
              <w:autoSpaceDE w:val="0"/>
              <w:autoSpaceDN w:val="0"/>
              <w:adjustRightInd w:val="0"/>
              <w:spacing w:after="0" w:line="240" w:lineRule="auto"/>
              <w:jc w:val="both"/>
              <w:rPr>
                <w:rFonts w:ascii="Arial" w:hAnsi="Arial" w:cs="Arial"/>
                <w:color w:val="000000"/>
                <w:lang w:eastAsia="es-MX"/>
              </w:rPr>
            </w:pPr>
          </w:p>
          <w:p w:rsidR="00F07D9D" w:rsidRDefault="00F07D9D" w:rsidP="00F07D9D">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13. Proceso de Mejora </w:t>
            </w:r>
          </w:p>
          <w:p w:rsidR="00F07D9D" w:rsidRDefault="00F07D9D" w:rsidP="00F07D9D">
            <w:pPr>
              <w:autoSpaceDE w:val="0"/>
              <w:autoSpaceDN w:val="0"/>
              <w:adjustRightInd w:val="0"/>
              <w:spacing w:after="0" w:line="240" w:lineRule="auto"/>
              <w:jc w:val="both"/>
              <w:rPr>
                <w:rFonts w:ascii="Arial" w:hAnsi="Arial" w:cs="Arial"/>
                <w:color w:val="000000"/>
                <w:lang w:eastAsia="es-MX"/>
              </w:rPr>
            </w:pPr>
            <w:r>
              <w:rPr>
                <w:rFonts w:ascii="Arial" w:hAnsi="Arial" w:cs="Arial"/>
                <w:color w:val="000000"/>
                <w:lang w:eastAsia="es-MX"/>
              </w:rPr>
              <w:t xml:space="preserve">Se informará de: </w:t>
            </w:r>
          </w:p>
          <w:p w:rsidR="00F07D9D" w:rsidRDefault="00F07D9D" w:rsidP="00F07D9D">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a)</w:t>
            </w:r>
            <w:r>
              <w:rPr>
                <w:rFonts w:ascii="Arial" w:hAnsi="Arial" w:cs="Arial"/>
                <w:color w:val="000000"/>
                <w:lang w:eastAsia="es-MX"/>
              </w:rPr>
              <w:tab/>
              <w:t xml:space="preserve">Principales Políticas de control interno. </w:t>
            </w:r>
          </w:p>
          <w:p w:rsidR="00F07D9D" w:rsidRDefault="00F07D9D" w:rsidP="00F07D9D">
            <w:pPr>
              <w:autoSpaceDE w:val="0"/>
              <w:autoSpaceDN w:val="0"/>
              <w:adjustRightInd w:val="0"/>
              <w:spacing w:after="0" w:line="240" w:lineRule="auto"/>
              <w:ind w:left="720" w:hanging="360"/>
              <w:jc w:val="both"/>
              <w:rPr>
                <w:rFonts w:ascii="Arial" w:hAnsi="Arial" w:cs="Arial"/>
                <w:color w:val="000000"/>
                <w:lang w:eastAsia="es-MX"/>
              </w:rPr>
            </w:pPr>
            <w:r>
              <w:rPr>
                <w:rFonts w:ascii="Arial" w:hAnsi="Arial" w:cs="Arial"/>
                <w:color w:val="000000"/>
                <w:lang w:eastAsia="es-MX"/>
              </w:rPr>
              <w:t>b)</w:t>
            </w:r>
            <w:r>
              <w:rPr>
                <w:rFonts w:ascii="Arial" w:hAnsi="Arial" w:cs="Arial"/>
                <w:color w:val="000000"/>
                <w:lang w:eastAsia="es-MX"/>
              </w:rPr>
              <w:tab/>
              <w:t>Medidas de desempeño financiero, metas y alcance.</w:t>
            </w:r>
          </w:p>
          <w:p w:rsidR="00F07D9D" w:rsidRDefault="00F07D9D" w:rsidP="00F07D9D">
            <w:pPr>
              <w:autoSpaceDE w:val="0"/>
              <w:autoSpaceDN w:val="0"/>
              <w:adjustRightInd w:val="0"/>
              <w:spacing w:after="0" w:line="240" w:lineRule="auto"/>
              <w:jc w:val="both"/>
              <w:rPr>
                <w:rFonts w:ascii="Arial" w:hAnsi="Arial" w:cs="Arial"/>
                <w:color w:val="000000"/>
                <w:lang w:eastAsia="es-MX"/>
              </w:rPr>
            </w:pPr>
          </w:p>
          <w:p w:rsidR="00F07D9D" w:rsidRDefault="00F07D9D" w:rsidP="00F07D9D">
            <w:pPr>
              <w:autoSpaceDE w:val="0"/>
              <w:autoSpaceDN w:val="0"/>
              <w:adjustRightInd w:val="0"/>
              <w:spacing w:after="0" w:line="240" w:lineRule="auto"/>
              <w:jc w:val="both"/>
              <w:rPr>
                <w:rFonts w:ascii="Arial" w:hAnsi="Arial" w:cs="Arial"/>
                <w:color w:val="000000"/>
                <w:lang w:eastAsia="es-MX"/>
              </w:rPr>
            </w:pPr>
            <w:r>
              <w:rPr>
                <w:rFonts w:ascii="Arial" w:hAnsi="Arial" w:cs="Arial"/>
                <w:b/>
                <w:bCs/>
                <w:color w:val="000000"/>
                <w:lang w:eastAsia="es-MX"/>
              </w:rPr>
              <w:t xml:space="preserve">14. Información por Segmentos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 </w:t>
            </w:r>
          </w:p>
          <w:p w:rsidR="00F07D9D" w:rsidRDefault="00F07D9D" w:rsidP="00F07D9D">
            <w:pPr>
              <w:autoSpaceDE w:val="0"/>
              <w:autoSpaceDN w:val="0"/>
              <w:adjustRightInd w:val="0"/>
              <w:spacing w:after="160" w:line="252" w:lineRule="auto"/>
              <w:jc w:val="both"/>
              <w:rPr>
                <w:rFonts w:ascii="Arial" w:hAnsi="Arial" w:cs="Arial"/>
                <w:lang w:eastAsia="es-MX"/>
              </w:rPr>
            </w:pP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Consecuentemente, esta información contribuye al análisis más preciso de la situación financiera, grados y fuentes de riesgo y crecimiento potencial de negocio.</w:t>
            </w:r>
          </w:p>
          <w:p w:rsidR="00F07D9D" w:rsidRDefault="00F07D9D" w:rsidP="00F07D9D">
            <w:pPr>
              <w:autoSpaceDE w:val="0"/>
              <w:autoSpaceDN w:val="0"/>
              <w:adjustRightInd w:val="0"/>
              <w:spacing w:after="160" w:line="252" w:lineRule="auto"/>
              <w:jc w:val="both"/>
              <w:rPr>
                <w:rFonts w:ascii="Arial" w:hAnsi="Arial" w:cs="Arial"/>
                <w:lang w:eastAsia="es-MX"/>
              </w:rPr>
            </w:pP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15. Eventos Posteriores al Cierre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El ente público informará el efecto en sus estados financieros de aquellos hechos ocurridos en el período posterior al que informa, que proporcionan mayor evidencia sobre eventos que le afectan económicamente y que no se conocían a la fecha de cierre.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16. Partes Relacionadas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Se debe establecer por escrito que no existen partes relacionadas que pudieran ejercer influencia significativa sobre la toma de decisiones financieras y operativas.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b/>
                <w:bCs/>
                <w:lang w:eastAsia="es-MX"/>
              </w:rPr>
              <w:t xml:space="preserve">17. Responsabilidad Sobre la Presentación Razonable de la Información Contable </w:t>
            </w:r>
          </w:p>
          <w:p w:rsidR="00F07D9D" w:rsidRDefault="00F07D9D" w:rsidP="00F07D9D">
            <w:pPr>
              <w:autoSpaceDE w:val="0"/>
              <w:autoSpaceDN w:val="0"/>
              <w:adjustRightInd w:val="0"/>
              <w:spacing w:after="160" w:line="252" w:lineRule="auto"/>
              <w:jc w:val="both"/>
              <w:rPr>
                <w:rFonts w:ascii="Arial" w:hAnsi="Arial" w:cs="Arial"/>
                <w:lang w:eastAsia="es-MX"/>
              </w:rPr>
            </w:pPr>
            <w:r>
              <w:rPr>
                <w:rFonts w:ascii="Arial" w:hAnsi="Arial" w:cs="Arial"/>
                <w:lang w:eastAsia="es-MX"/>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p>
          <w:p w:rsidR="00F07D9D" w:rsidRDefault="00F07D9D" w:rsidP="00F07D9D">
            <w:pPr>
              <w:autoSpaceDE w:val="0"/>
              <w:autoSpaceDN w:val="0"/>
              <w:adjustRightInd w:val="0"/>
              <w:spacing w:after="0" w:line="240" w:lineRule="auto"/>
              <w:rPr>
                <w:rFonts w:ascii="Arial" w:hAnsi="Arial" w:cs="Arial"/>
                <w:sz w:val="23"/>
                <w:szCs w:val="23"/>
                <w:lang w:val="es-419" w:eastAsia="es-MX"/>
              </w:rPr>
            </w:pPr>
          </w:p>
          <w:p w:rsidR="00A45E83" w:rsidRPr="007326BD" w:rsidRDefault="00A45E83" w:rsidP="00A45E83">
            <w:pPr>
              <w:spacing w:after="0" w:line="240" w:lineRule="auto"/>
              <w:jc w:val="both"/>
              <w:rPr>
                <w:rFonts w:ascii="Arial" w:hAnsi="Arial" w:cs="Arial"/>
                <w:sz w:val="24"/>
                <w:szCs w:val="24"/>
              </w:rPr>
            </w:pPr>
          </w:p>
        </w:tc>
      </w:tr>
    </w:tbl>
    <w:p w:rsidR="00A45E83" w:rsidRDefault="00A45E83">
      <w:pPr>
        <w:rPr>
          <w:rFonts w:ascii="Arial" w:hAnsi="Arial" w:cs="Arial"/>
        </w:rPr>
      </w:pPr>
    </w:p>
    <w:p w:rsidR="008E706B" w:rsidRDefault="008E706B">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0"/>
        <w:gridCol w:w="1257"/>
        <w:gridCol w:w="3841"/>
      </w:tblGrid>
      <w:tr w:rsidR="0009560A" w:rsidRPr="001F0913" w:rsidTr="00983255">
        <w:trPr>
          <w:jc w:val="center"/>
        </w:trPr>
        <w:tc>
          <w:tcPr>
            <w:tcW w:w="3794"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val="es-419" w:eastAsia="es-419"/>
              </w:rPr>
              <mc:AlternateContent>
                <mc:Choice Requires="wps">
                  <w:drawing>
                    <wp:anchor distT="0" distB="0" distL="114300" distR="114300" simplePos="0" relativeHeight="251657216" behindDoc="0" locked="0" layoutInCell="1" allowOverlap="1">
                      <wp:simplePos x="0" y="0"/>
                      <wp:positionH relativeFrom="column">
                        <wp:posOffset>-22860</wp:posOffset>
                      </wp:positionH>
                      <wp:positionV relativeFrom="paragraph">
                        <wp:posOffset>259715</wp:posOffset>
                      </wp:positionV>
                      <wp:extent cx="2295525" cy="0"/>
                      <wp:effectExtent l="5080" t="5080" r="13970" b="1397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w14:anchorId="56AE36C2" id="_x0000_t32" coordsize="21600,21600" o:spt="32" o:oned="t" path="m,l21600,21600e" filled="f">
                      <v:path arrowok="t" fillok="f" o:connecttype="none"/>
                      <o:lock v:ext="edit" shapetype="t"/>
                    </v:shapetype>
                    <v:shape id="AutoShape 4"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E0fL1obAgAAOwQAAA4AAAAAAAAAAAAAAAAALgIAAGRycy9lMm9Eb2MueG1sUEsBAi0A&#10;FAAGAAgAAAAhANSWC17eAAAACAEAAA8AAAAAAAAAAAAAAAAAdQQAAGRycy9kb3ducmV2LnhtbFBL&#10;BQYAAAAABAAEAPMAAACABQAAAAA=&#10;"/>
                  </w:pict>
                </mc:Fallback>
              </mc:AlternateConten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1F0913" w:rsidRDefault="00A45336" w:rsidP="0009560A">
            <w:pPr>
              <w:rPr>
                <w:rFonts w:ascii="Arial" w:hAnsi="Arial" w:cs="Arial"/>
                <w:sz w:val="20"/>
              </w:rPr>
            </w:pPr>
            <w:r w:rsidRPr="001F0913">
              <w:rPr>
                <w:rFonts w:ascii="Arial" w:hAnsi="Arial" w:cs="Arial"/>
                <w:noProof/>
                <w:lang w:val="es-419" w:eastAsia="es-419"/>
              </w:rPr>
              <mc:AlternateContent>
                <mc:Choice Requires="wps">
                  <w:drawing>
                    <wp:anchor distT="0" distB="0" distL="114300" distR="114300" simplePos="0" relativeHeight="251658240" behindDoc="0" locked="0" layoutInCell="1" allowOverlap="1">
                      <wp:simplePos x="0" y="0"/>
                      <wp:positionH relativeFrom="column">
                        <wp:posOffset>15240</wp:posOffset>
                      </wp:positionH>
                      <wp:positionV relativeFrom="paragraph">
                        <wp:posOffset>259715</wp:posOffset>
                      </wp:positionV>
                      <wp:extent cx="2295525" cy="0"/>
                      <wp:effectExtent l="5080" t="5080" r="13970" b="1397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17B2527D" id="AutoShape 5"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AnwvHRwCAAA7BAAADgAAAAAAAAAAAAAAAAAuAgAAZHJzL2Uyb0RvYy54bWxQSwECLQAU&#10;AAYACAAAACEArxXqGdwAAAAHAQAADwAAAAAAAAAAAAAAAAB2BAAAZHJzL2Rvd25yZXYueG1sUEsF&#10;BgAAAAAEAAQA8wAAAH8FAAAAAA==&#10;"/>
                  </w:pict>
                </mc:Fallback>
              </mc:AlternateContent>
            </w:r>
          </w:p>
        </w:tc>
      </w:tr>
      <w:tr w:rsidR="0009560A" w:rsidRPr="001F0913" w:rsidTr="00983255">
        <w:trPr>
          <w:jc w:val="center"/>
        </w:trPr>
        <w:tc>
          <w:tcPr>
            <w:tcW w:w="3794" w:type="dxa"/>
            <w:shd w:val="clear" w:color="auto" w:fill="auto"/>
            <w:vAlign w:val="center"/>
          </w:tcPr>
          <w:p w:rsidR="0009560A" w:rsidRPr="001F0913" w:rsidRDefault="00F07D9D" w:rsidP="00983255">
            <w:pPr>
              <w:jc w:val="center"/>
              <w:rPr>
                <w:rFonts w:ascii="Arial" w:hAnsi="Arial" w:cs="Arial"/>
                <w:sz w:val="20"/>
              </w:rPr>
            </w:pPr>
            <w:bookmarkStart w:id="4" w:name="firma1"/>
            <w:bookmarkEnd w:id="4"/>
            <w:r>
              <w:rPr>
                <w:rFonts w:ascii="Arial" w:hAnsi="Arial" w:cs="Arial"/>
                <w:sz w:val="20"/>
              </w:rPr>
              <w:t>DR. FRANCISCO JAVIER ALVAREZ CHAVEZ</w:t>
            </w:r>
          </w:p>
          <w:p w:rsidR="0009560A" w:rsidRPr="001F0913" w:rsidRDefault="00F07D9D" w:rsidP="00983255">
            <w:pPr>
              <w:jc w:val="center"/>
              <w:rPr>
                <w:rFonts w:ascii="Arial" w:hAnsi="Arial" w:cs="Arial"/>
                <w:sz w:val="20"/>
              </w:rPr>
            </w:pPr>
            <w:bookmarkStart w:id="5" w:name="Cargo1"/>
            <w:bookmarkEnd w:id="5"/>
            <w:r>
              <w:rPr>
                <w:rFonts w:ascii="Arial" w:hAnsi="Arial" w:cs="Arial"/>
                <w:sz w:val="20"/>
              </w:rPr>
              <w:t>PRESIDENTE</w:t>
            </w:r>
          </w:p>
        </w:tc>
        <w:tc>
          <w:tcPr>
            <w:tcW w:w="1276" w:type="dxa"/>
            <w:shd w:val="clear" w:color="auto" w:fill="auto"/>
            <w:vAlign w:val="center"/>
          </w:tcPr>
          <w:p w:rsidR="0009560A" w:rsidRPr="001F0913" w:rsidRDefault="0009560A" w:rsidP="0009560A">
            <w:pPr>
              <w:rPr>
                <w:rFonts w:ascii="Arial" w:hAnsi="Arial" w:cs="Arial"/>
                <w:sz w:val="20"/>
              </w:rPr>
            </w:pPr>
          </w:p>
        </w:tc>
        <w:tc>
          <w:tcPr>
            <w:tcW w:w="3908" w:type="dxa"/>
            <w:shd w:val="clear" w:color="auto" w:fill="auto"/>
            <w:vAlign w:val="center"/>
          </w:tcPr>
          <w:p w:rsidR="0009560A" w:rsidRPr="001F0913" w:rsidRDefault="00F07D9D" w:rsidP="00983255">
            <w:pPr>
              <w:jc w:val="center"/>
              <w:rPr>
                <w:rFonts w:ascii="Arial" w:hAnsi="Arial" w:cs="Arial"/>
                <w:sz w:val="20"/>
              </w:rPr>
            </w:pPr>
            <w:bookmarkStart w:id="6" w:name="firma2"/>
            <w:bookmarkEnd w:id="6"/>
            <w:r>
              <w:rPr>
                <w:rFonts w:ascii="Arial" w:hAnsi="Arial" w:cs="Arial"/>
                <w:sz w:val="20"/>
              </w:rPr>
              <w:t>MTRA. ERIKA FABIOLA RAMOS CHAVEZ</w:t>
            </w:r>
          </w:p>
          <w:p w:rsidR="0009560A" w:rsidRPr="001F0913" w:rsidRDefault="00F07D9D" w:rsidP="00983255">
            <w:pPr>
              <w:jc w:val="center"/>
              <w:rPr>
                <w:rFonts w:ascii="Arial" w:hAnsi="Arial" w:cs="Arial"/>
                <w:sz w:val="20"/>
              </w:rPr>
            </w:pPr>
            <w:bookmarkStart w:id="7" w:name="Cargo2"/>
            <w:bookmarkEnd w:id="7"/>
            <w:r>
              <w:rPr>
                <w:rFonts w:ascii="Arial" w:hAnsi="Arial" w:cs="Arial"/>
                <w:sz w:val="20"/>
              </w:rPr>
              <w:t>ENCARGADA DE LA HACIENDA MUNICIPAL</w:t>
            </w:r>
          </w:p>
        </w:tc>
      </w:tr>
    </w:tbl>
    <w:p w:rsidR="0009560A" w:rsidRPr="00721735" w:rsidRDefault="00F07D9D" w:rsidP="00DC7A0D">
      <w:pPr>
        <w:jc w:val="center"/>
        <w:rPr>
          <w:rFonts w:ascii="C39HrP24DhTt" w:hAnsi="C39HrP24DhTt" w:cs="Arial"/>
          <w:sz w:val="44"/>
          <w:szCs w:val="44"/>
        </w:rPr>
      </w:pPr>
      <w:bookmarkStart w:id="8" w:name="codigo"/>
      <w:bookmarkEnd w:id="8"/>
      <w:r>
        <w:rPr>
          <w:rFonts w:ascii="C39HrP24DhTt" w:hAnsi="C39HrP24DhTt" w:cs="Arial"/>
          <w:sz w:val="44"/>
          <w:szCs w:val="44"/>
        </w:rPr>
        <w:t>ASEJ2020-14-23-10-2020-1</w:t>
      </w:r>
    </w:p>
    <w:p w:rsidR="008E706B" w:rsidRDefault="008E706B">
      <w:pPr>
        <w:rPr>
          <w:rFonts w:ascii="Arial" w:hAnsi="Arial" w:cs="Arial"/>
        </w:rPr>
      </w:pPr>
    </w:p>
    <w:p w:rsidR="008E706B" w:rsidRPr="00B157EC" w:rsidRDefault="008E706B" w:rsidP="008E706B">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rsidR="008E706B" w:rsidRPr="007326BD" w:rsidRDefault="008E706B">
      <w:pPr>
        <w:rPr>
          <w:rFonts w:ascii="Arial" w:hAnsi="Arial" w:cs="Arial"/>
        </w:rPr>
      </w:pPr>
    </w:p>
    <w:sectPr w:rsidR="008E706B"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E83"/>
    <w:rsid w:val="0009560A"/>
    <w:rsid w:val="00245F49"/>
    <w:rsid w:val="0040191D"/>
    <w:rsid w:val="004D1A2A"/>
    <w:rsid w:val="007326BD"/>
    <w:rsid w:val="00806603"/>
    <w:rsid w:val="008A5017"/>
    <w:rsid w:val="008E706B"/>
    <w:rsid w:val="00983255"/>
    <w:rsid w:val="009F5BF2"/>
    <w:rsid w:val="00A45336"/>
    <w:rsid w:val="00A45E83"/>
    <w:rsid w:val="00DC7A0D"/>
    <w:rsid w:val="00EF11D0"/>
    <w:rsid w:val="00F07D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434C81-568D-4649-840E-C369D584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wmf"/><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3443</Words>
  <Characters>18937</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ASEJ</Company>
  <LinksUpToDate>false</LinksUpToDate>
  <CharactersWithSpaces>22336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Arnoldo</cp:lastModifiedBy>
  <cp:revision>4</cp:revision>
  <dcterms:created xsi:type="dcterms:W3CDTF">2020-05-27T16:04:00Z</dcterms:created>
  <dcterms:modified xsi:type="dcterms:W3CDTF">2020-10-23T22:45:00Z</dcterms:modified>
</cp:coreProperties>
</file>