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0FA4" w:rsidRPr="00B23333" w:rsidRDefault="00880FA4" w:rsidP="00880FA4">
      <w:pPr>
        <w:jc w:val="both"/>
        <w:rPr>
          <w:rFonts w:ascii="Arial" w:hAnsi="Arial" w:cs="Arial"/>
          <w:b/>
        </w:rPr>
      </w:pPr>
      <w:r>
        <w:rPr>
          <w:rFonts w:ascii="Arial" w:hAnsi="Arial" w:cs="Arial"/>
          <w:b/>
        </w:rPr>
        <w:t>C</w:t>
      </w:r>
      <w:r w:rsidRPr="00B23333">
        <w:rPr>
          <w:rFonts w:ascii="Arial" w:hAnsi="Arial" w:cs="Arial"/>
          <w:b/>
        </w:rPr>
        <w:t>) NOTAS DE GESTIÓN ADMINISTRATIVA</w:t>
      </w:r>
    </w:p>
    <w:p w:rsidR="00880FA4" w:rsidRPr="00AD12B7" w:rsidRDefault="00880FA4" w:rsidP="00880FA4">
      <w:pPr>
        <w:jc w:val="both"/>
        <w:rPr>
          <w:rFonts w:ascii="Arial" w:hAnsi="Arial" w:cs="Arial"/>
          <w:b/>
          <w:bCs/>
        </w:rPr>
      </w:pPr>
      <w:r w:rsidRPr="00AD12B7">
        <w:rPr>
          <w:rFonts w:ascii="Arial" w:hAnsi="Arial" w:cs="Arial"/>
          <w:b/>
          <w:bCs/>
        </w:rPr>
        <w:t>1. Introducción</w:t>
      </w:r>
    </w:p>
    <w:p w:rsidR="00880FA4" w:rsidRPr="00AD12B7" w:rsidRDefault="00880FA4" w:rsidP="00880FA4">
      <w:pPr>
        <w:jc w:val="both"/>
        <w:rPr>
          <w:rFonts w:ascii="Arial" w:hAnsi="Arial" w:cs="Arial"/>
        </w:rPr>
      </w:pPr>
      <w:r w:rsidRPr="00AD12B7">
        <w:rPr>
          <w:rFonts w:ascii="Arial" w:hAnsi="Arial" w:cs="Arial"/>
        </w:rPr>
        <w:t xml:space="preserve">Los Estados Financieros de los entes públicos, proveen de información financiera a los principales usuarios de </w:t>
      </w:r>
      <w:proofErr w:type="gramStart"/>
      <w:r w:rsidRPr="00AD12B7">
        <w:rPr>
          <w:rFonts w:ascii="Arial" w:hAnsi="Arial" w:cs="Arial"/>
        </w:rPr>
        <w:t>la misma</w:t>
      </w:r>
      <w:proofErr w:type="gramEnd"/>
      <w:r w:rsidRPr="00AD12B7">
        <w:rPr>
          <w:rFonts w:ascii="Arial" w:hAnsi="Arial" w:cs="Arial"/>
        </w:rPr>
        <w:t>, al Congreso y a los ciudadanos.</w:t>
      </w:r>
    </w:p>
    <w:p w:rsidR="00880FA4" w:rsidRPr="00AD12B7" w:rsidRDefault="00880FA4" w:rsidP="00880FA4">
      <w:pPr>
        <w:jc w:val="both"/>
        <w:rPr>
          <w:rFonts w:ascii="Arial" w:hAnsi="Arial" w:cs="Arial"/>
        </w:rPr>
      </w:pPr>
      <w:r w:rsidRPr="00AD12B7">
        <w:rPr>
          <w:rFonts w:ascii="Arial" w:hAnsi="Arial" w:cs="Arial"/>
        </w:rPr>
        <w:t xml:space="preserve">El objetivo del presente documento es la revelación del contexto y de los aspectos económicos-financieros más relevantes que influyeron en las decisiones del período, y que deberán ser considerados en la elaboración de los estados financieros para la mayor comprensión de </w:t>
      </w:r>
      <w:proofErr w:type="gramStart"/>
      <w:r w:rsidRPr="00AD12B7">
        <w:rPr>
          <w:rFonts w:ascii="Arial" w:hAnsi="Arial" w:cs="Arial"/>
        </w:rPr>
        <w:t>los mismos</w:t>
      </w:r>
      <w:proofErr w:type="gramEnd"/>
      <w:r w:rsidRPr="00AD12B7">
        <w:rPr>
          <w:rFonts w:ascii="Arial" w:hAnsi="Arial" w:cs="Arial"/>
        </w:rPr>
        <w:t xml:space="preserve"> y sus particularidades.</w:t>
      </w:r>
    </w:p>
    <w:p w:rsidR="00880FA4" w:rsidRPr="00AD12B7" w:rsidRDefault="00880FA4" w:rsidP="00880FA4">
      <w:pPr>
        <w:jc w:val="both"/>
        <w:rPr>
          <w:rFonts w:ascii="Arial" w:hAnsi="Arial" w:cs="Arial"/>
        </w:rPr>
      </w:pPr>
      <w:r w:rsidRPr="00AD12B7">
        <w:rPr>
          <w:rFonts w:ascii="Arial" w:hAnsi="Arial" w:cs="Arial"/>
        </w:rPr>
        <w:t>De esta manera, se informa y explica la respuesta del gobierno a las condiciones relacionadas con la información financiera de cada período de gestión; además, de exponer aquellas políticas que podrían afectar la toma de decisiones en períodos posteriores.</w:t>
      </w:r>
    </w:p>
    <w:p w:rsidR="00880FA4" w:rsidRPr="00AD12B7" w:rsidRDefault="00880FA4" w:rsidP="00880FA4">
      <w:pPr>
        <w:jc w:val="both"/>
        <w:rPr>
          <w:rFonts w:ascii="Arial" w:hAnsi="Arial" w:cs="Arial"/>
          <w:b/>
          <w:bCs/>
        </w:rPr>
      </w:pPr>
      <w:r w:rsidRPr="00AD12B7">
        <w:rPr>
          <w:rFonts w:ascii="Arial" w:hAnsi="Arial" w:cs="Arial"/>
          <w:b/>
          <w:bCs/>
        </w:rPr>
        <w:t>2. Panorama Económico y Financiero</w:t>
      </w:r>
    </w:p>
    <w:p w:rsidR="00880FA4" w:rsidRPr="00AD12B7" w:rsidRDefault="00880FA4" w:rsidP="00880FA4">
      <w:pPr>
        <w:jc w:val="both"/>
        <w:rPr>
          <w:rFonts w:ascii="Arial" w:hAnsi="Arial" w:cs="Arial"/>
        </w:rPr>
      </w:pPr>
      <w:r w:rsidRPr="00AD12B7">
        <w:rPr>
          <w:rFonts w:ascii="Arial" w:hAnsi="Arial" w:cs="Arial"/>
        </w:rPr>
        <w:t>Se informará sobre las principales condiciones económico- financieras bajo las cuales el ente público estuvo operando; y las cuales influyeron en la toma de decisiones de la administración; tanto a nivel local como federal.</w:t>
      </w:r>
    </w:p>
    <w:p w:rsidR="00880FA4" w:rsidRPr="00AD12B7" w:rsidRDefault="00880FA4" w:rsidP="00880FA4">
      <w:pPr>
        <w:jc w:val="both"/>
        <w:rPr>
          <w:rFonts w:ascii="Arial" w:hAnsi="Arial" w:cs="Arial"/>
          <w:b/>
          <w:bCs/>
        </w:rPr>
      </w:pPr>
      <w:r w:rsidRPr="00AD12B7">
        <w:rPr>
          <w:rFonts w:ascii="Arial" w:hAnsi="Arial" w:cs="Arial"/>
          <w:b/>
          <w:bCs/>
        </w:rPr>
        <w:t>3. Autorización e Historia</w:t>
      </w:r>
    </w:p>
    <w:p w:rsidR="00880FA4" w:rsidRPr="00AD12B7" w:rsidRDefault="00880FA4" w:rsidP="00880FA4">
      <w:pPr>
        <w:jc w:val="both"/>
        <w:rPr>
          <w:rFonts w:ascii="Arial" w:hAnsi="Arial" w:cs="Arial"/>
        </w:rPr>
      </w:pPr>
      <w:r w:rsidRPr="00AD12B7">
        <w:rPr>
          <w:rFonts w:ascii="Arial" w:hAnsi="Arial" w:cs="Arial"/>
        </w:rPr>
        <w:t>Se informará sobre:</w:t>
      </w:r>
    </w:p>
    <w:p w:rsidR="00880FA4" w:rsidRPr="00AD12B7" w:rsidRDefault="00880FA4" w:rsidP="00880FA4">
      <w:pPr>
        <w:pStyle w:val="Prrafodelista"/>
        <w:numPr>
          <w:ilvl w:val="0"/>
          <w:numId w:val="7"/>
        </w:numPr>
        <w:jc w:val="both"/>
        <w:rPr>
          <w:rFonts w:ascii="Arial" w:hAnsi="Arial" w:cs="Arial"/>
        </w:rPr>
      </w:pPr>
      <w:r w:rsidRPr="00AD12B7">
        <w:rPr>
          <w:rFonts w:ascii="Arial" w:hAnsi="Arial" w:cs="Arial"/>
        </w:rPr>
        <w:t>Fecha de creación del ente.</w:t>
      </w:r>
    </w:p>
    <w:p w:rsidR="00880FA4" w:rsidRPr="00AD12B7" w:rsidRDefault="00880FA4" w:rsidP="00880FA4">
      <w:pPr>
        <w:pStyle w:val="Prrafodelista"/>
        <w:jc w:val="both"/>
        <w:rPr>
          <w:rFonts w:ascii="Arial" w:hAnsi="Arial" w:cs="Arial"/>
        </w:rPr>
      </w:pPr>
      <w:r w:rsidRPr="00AD12B7">
        <w:rPr>
          <w:rFonts w:ascii="Arial" w:hAnsi="Arial" w:cs="Arial"/>
        </w:rPr>
        <w:t xml:space="preserve">Tamazula cuenta con Ayuntamiento Constitucional desde el año de 1820, un año anterior a la consumación de la independencia nacional. </w:t>
      </w:r>
    </w:p>
    <w:p w:rsidR="00880FA4" w:rsidRPr="00AD12B7" w:rsidRDefault="00880FA4" w:rsidP="00880FA4">
      <w:pPr>
        <w:pStyle w:val="Prrafodelista"/>
        <w:numPr>
          <w:ilvl w:val="0"/>
          <w:numId w:val="7"/>
        </w:numPr>
        <w:jc w:val="both"/>
        <w:rPr>
          <w:rFonts w:ascii="Arial" w:hAnsi="Arial" w:cs="Arial"/>
        </w:rPr>
      </w:pPr>
      <w:r w:rsidRPr="00AD12B7">
        <w:rPr>
          <w:rFonts w:ascii="Arial" w:hAnsi="Arial" w:cs="Arial"/>
        </w:rPr>
        <w:t>Principales cambios en su estructura.</w:t>
      </w:r>
    </w:p>
    <w:p w:rsidR="00880FA4" w:rsidRPr="00AD12B7" w:rsidRDefault="00880FA4" w:rsidP="00880FA4">
      <w:pPr>
        <w:pStyle w:val="Prrafodelista"/>
        <w:jc w:val="both"/>
        <w:rPr>
          <w:rFonts w:ascii="Arial" w:hAnsi="Arial" w:cs="Arial"/>
        </w:rPr>
      </w:pPr>
      <w:r w:rsidRPr="00AD12B7">
        <w:rPr>
          <w:rFonts w:ascii="Arial" w:hAnsi="Arial" w:cs="Arial"/>
        </w:rPr>
        <w:t xml:space="preserve">Años posteriores, dentro del proceso de reorganización político-administrativo, el 8 de abril de 1844, el Congreso de Jalisco, mediante Decreto no. 5 ordenó la instalación formal del Ayuntamiento de Tamazula, el cual debía, en ese entonces, quedar integrado por dos </w:t>
      </w:r>
      <w:proofErr w:type="gramStart"/>
      <w:r w:rsidRPr="00AD12B7">
        <w:rPr>
          <w:rFonts w:ascii="Arial" w:hAnsi="Arial" w:cs="Arial"/>
        </w:rPr>
        <w:t>Alcaldes</w:t>
      </w:r>
      <w:proofErr w:type="gramEnd"/>
      <w:r w:rsidRPr="00AD12B7">
        <w:rPr>
          <w:rFonts w:ascii="Arial" w:hAnsi="Arial" w:cs="Arial"/>
        </w:rPr>
        <w:t>, cuatro Regidores y un Sindico; siendo el Cabildo el máximo órgano del Gobierno Civil, elegido mediante el sufragio popular.</w:t>
      </w:r>
    </w:p>
    <w:p w:rsidR="00880FA4" w:rsidRPr="00AD12B7" w:rsidRDefault="00880FA4" w:rsidP="00880FA4">
      <w:pPr>
        <w:jc w:val="both"/>
        <w:rPr>
          <w:rFonts w:ascii="Arial" w:hAnsi="Arial" w:cs="Arial"/>
          <w:b/>
          <w:bCs/>
        </w:rPr>
      </w:pPr>
      <w:r w:rsidRPr="00AD12B7">
        <w:rPr>
          <w:rFonts w:ascii="Arial" w:hAnsi="Arial" w:cs="Arial"/>
          <w:b/>
          <w:bCs/>
        </w:rPr>
        <w:t>4. Organización y Objeto Social</w:t>
      </w:r>
    </w:p>
    <w:p w:rsidR="00880FA4" w:rsidRPr="00AD12B7" w:rsidRDefault="00880FA4" w:rsidP="00880FA4">
      <w:pPr>
        <w:jc w:val="both"/>
        <w:rPr>
          <w:rFonts w:ascii="Arial" w:hAnsi="Arial" w:cs="Arial"/>
        </w:rPr>
      </w:pPr>
      <w:r w:rsidRPr="00AD12B7">
        <w:rPr>
          <w:rFonts w:ascii="Arial" w:hAnsi="Arial" w:cs="Arial"/>
        </w:rPr>
        <w:t>Se informará sobre:</w:t>
      </w:r>
    </w:p>
    <w:p w:rsidR="00880FA4" w:rsidRPr="00AD12B7" w:rsidRDefault="00880FA4" w:rsidP="00880FA4">
      <w:pPr>
        <w:pStyle w:val="Prrafodelista"/>
        <w:numPr>
          <w:ilvl w:val="0"/>
          <w:numId w:val="8"/>
        </w:numPr>
        <w:jc w:val="both"/>
        <w:rPr>
          <w:rFonts w:ascii="Arial" w:hAnsi="Arial" w:cs="Arial"/>
        </w:rPr>
      </w:pPr>
      <w:r w:rsidRPr="00AD12B7">
        <w:rPr>
          <w:rFonts w:ascii="Arial" w:hAnsi="Arial" w:cs="Arial"/>
        </w:rPr>
        <w:t>Objeto social.</w:t>
      </w:r>
    </w:p>
    <w:p w:rsidR="00880FA4" w:rsidRPr="00AD12B7" w:rsidRDefault="00880FA4" w:rsidP="00880FA4">
      <w:pPr>
        <w:pStyle w:val="Prrafodelista"/>
        <w:numPr>
          <w:ilvl w:val="0"/>
          <w:numId w:val="9"/>
        </w:numPr>
        <w:spacing w:after="120" w:line="240" w:lineRule="auto"/>
        <w:jc w:val="both"/>
        <w:rPr>
          <w:rFonts w:ascii="Arial" w:eastAsia="Times New Roman" w:hAnsi="Arial" w:cs="Arial"/>
          <w:color w:val="000000"/>
          <w:lang w:eastAsia="es-MX"/>
        </w:rPr>
      </w:pPr>
      <w:r w:rsidRPr="00AD12B7">
        <w:rPr>
          <w:rFonts w:ascii="Arial" w:eastAsia="Times New Roman" w:hAnsi="Arial" w:cs="Arial"/>
          <w:color w:val="000000"/>
          <w:lang w:eastAsia="es-MX"/>
        </w:rPr>
        <w:t>El bienestar de la comunidad local y su desarrollo cultural, social y material;</w:t>
      </w:r>
    </w:p>
    <w:p w:rsidR="00880FA4" w:rsidRPr="00AD12B7" w:rsidRDefault="00880FA4" w:rsidP="00880FA4">
      <w:pPr>
        <w:pStyle w:val="Prrafodelista"/>
        <w:numPr>
          <w:ilvl w:val="0"/>
          <w:numId w:val="9"/>
        </w:numPr>
        <w:spacing w:after="120" w:line="240" w:lineRule="auto"/>
        <w:jc w:val="both"/>
        <w:rPr>
          <w:rFonts w:ascii="Arial" w:eastAsia="Times New Roman" w:hAnsi="Arial" w:cs="Arial"/>
          <w:color w:val="000000"/>
          <w:lang w:eastAsia="es-MX"/>
        </w:rPr>
      </w:pPr>
      <w:r w:rsidRPr="00AD12B7">
        <w:rPr>
          <w:rFonts w:ascii="Arial" w:eastAsia="Times New Roman" w:hAnsi="Arial" w:cs="Arial"/>
          <w:color w:val="000000"/>
          <w:lang w:eastAsia="es-MX"/>
        </w:rPr>
        <w:t>La protección de la salud y la seguridad de las personas;</w:t>
      </w:r>
    </w:p>
    <w:p w:rsidR="00880FA4" w:rsidRPr="00AD12B7" w:rsidRDefault="00880FA4" w:rsidP="00880FA4">
      <w:pPr>
        <w:pStyle w:val="Prrafodelista"/>
        <w:numPr>
          <w:ilvl w:val="0"/>
          <w:numId w:val="9"/>
        </w:numPr>
        <w:spacing w:after="120" w:line="240" w:lineRule="auto"/>
        <w:jc w:val="both"/>
        <w:rPr>
          <w:rFonts w:ascii="Arial" w:eastAsia="Times New Roman" w:hAnsi="Arial" w:cs="Arial"/>
          <w:color w:val="000000"/>
          <w:lang w:eastAsia="es-MX"/>
        </w:rPr>
      </w:pPr>
      <w:r w:rsidRPr="00AD12B7">
        <w:rPr>
          <w:rFonts w:ascii="Arial" w:eastAsia="Times New Roman" w:hAnsi="Arial" w:cs="Arial"/>
          <w:color w:val="000000"/>
          <w:lang w:eastAsia="es-MX"/>
        </w:rPr>
        <w:lastRenderedPageBreak/>
        <w:t>El fomento del civismo y de la solidaridad entre los vecinos; y</w:t>
      </w:r>
    </w:p>
    <w:p w:rsidR="00880FA4" w:rsidRPr="00AD12B7" w:rsidRDefault="00880FA4" w:rsidP="00880FA4">
      <w:pPr>
        <w:pStyle w:val="Prrafodelista"/>
        <w:numPr>
          <w:ilvl w:val="0"/>
          <w:numId w:val="9"/>
        </w:numPr>
        <w:spacing w:after="120" w:line="240" w:lineRule="auto"/>
        <w:jc w:val="both"/>
        <w:rPr>
          <w:rFonts w:ascii="Arial" w:eastAsia="Times New Roman" w:hAnsi="Arial" w:cs="Arial"/>
          <w:color w:val="000000"/>
          <w:lang w:eastAsia="es-MX"/>
        </w:rPr>
      </w:pPr>
      <w:r w:rsidRPr="00AD12B7">
        <w:rPr>
          <w:rFonts w:ascii="Arial" w:eastAsia="Times New Roman" w:hAnsi="Arial" w:cs="Arial"/>
          <w:color w:val="000000"/>
          <w:lang w:eastAsia="es-MX"/>
        </w:rPr>
        <w:t>La cooperación con otras Municipalidades y entidades para el cumplimiento de obras de interés colectivo, dentro de sus fines específicos.</w:t>
      </w:r>
    </w:p>
    <w:p w:rsidR="00880FA4" w:rsidRPr="00AD12B7" w:rsidRDefault="00880FA4" w:rsidP="00880FA4">
      <w:pPr>
        <w:pStyle w:val="Prrafodelista"/>
        <w:jc w:val="both"/>
        <w:rPr>
          <w:rFonts w:ascii="Arial" w:hAnsi="Arial" w:cs="Arial"/>
        </w:rPr>
      </w:pPr>
    </w:p>
    <w:p w:rsidR="00880FA4" w:rsidRPr="00AD12B7" w:rsidRDefault="00880FA4" w:rsidP="00880FA4">
      <w:pPr>
        <w:pStyle w:val="Prrafodelista"/>
        <w:numPr>
          <w:ilvl w:val="0"/>
          <w:numId w:val="8"/>
        </w:numPr>
        <w:jc w:val="both"/>
        <w:rPr>
          <w:rFonts w:ascii="Arial" w:hAnsi="Arial" w:cs="Arial"/>
        </w:rPr>
      </w:pPr>
      <w:r w:rsidRPr="00AD12B7">
        <w:rPr>
          <w:rFonts w:ascii="Arial" w:hAnsi="Arial" w:cs="Arial"/>
        </w:rPr>
        <w:t>Principal actividad.</w:t>
      </w:r>
    </w:p>
    <w:p w:rsidR="00880FA4" w:rsidRPr="00AD12B7" w:rsidRDefault="00880FA4" w:rsidP="00880FA4">
      <w:pPr>
        <w:pStyle w:val="Prrafodelista"/>
        <w:jc w:val="both"/>
        <w:rPr>
          <w:rFonts w:ascii="Arial" w:hAnsi="Arial" w:cs="Arial"/>
        </w:rPr>
      </w:pPr>
      <w:r w:rsidRPr="00AD12B7">
        <w:rPr>
          <w:rFonts w:ascii="Arial" w:hAnsi="Arial" w:cs="Arial"/>
        </w:rPr>
        <w:t>Administración pública municipal en general y actividades asistenciales.</w:t>
      </w:r>
    </w:p>
    <w:p w:rsidR="00880FA4" w:rsidRPr="00AD12B7" w:rsidRDefault="00880FA4" w:rsidP="00880FA4">
      <w:pPr>
        <w:pStyle w:val="Prrafodelista"/>
        <w:numPr>
          <w:ilvl w:val="0"/>
          <w:numId w:val="8"/>
        </w:numPr>
        <w:jc w:val="both"/>
        <w:rPr>
          <w:rFonts w:ascii="Arial" w:hAnsi="Arial" w:cs="Arial"/>
        </w:rPr>
      </w:pPr>
      <w:r w:rsidRPr="00AD12B7">
        <w:rPr>
          <w:rFonts w:ascii="Arial" w:hAnsi="Arial" w:cs="Arial"/>
        </w:rPr>
        <w:t>Ejercicio fiscal.</w:t>
      </w:r>
    </w:p>
    <w:p w:rsidR="00880FA4" w:rsidRPr="00AD12B7" w:rsidRDefault="00880FA4" w:rsidP="00880FA4">
      <w:pPr>
        <w:pStyle w:val="Prrafodelista"/>
        <w:jc w:val="both"/>
        <w:rPr>
          <w:rFonts w:ascii="Arial" w:hAnsi="Arial" w:cs="Arial"/>
        </w:rPr>
      </w:pPr>
      <w:r w:rsidRPr="00AD12B7">
        <w:rPr>
          <w:rFonts w:ascii="Arial" w:hAnsi="Arial" w:cs="Arial"/>
        </w:rPr>
        <w:t>2017</w:t>
      </w:r>
    </w:p>
    <w:p w:rsidR="00880FA4" w:rsidRPr="00AD12B7" w:rsidRDefault="00880FA4" w:rsidP="00880FA4">
      <w:pPr>
        <w:pStyle w:val="Prrafodelista"/>
        <w:numPr>
          <w:ilvl w:val="0"/>
          <w:numId w:val="8"/>
        </w:numPr>
        <w:jc w:val="both"/>
        <w:rPr>
          <w:rFonts w:ascii="Arial" w:hAnsi="Arial" w:cs="Arial"/>
        </w:rPr>
      </w:pPr>
      <w:r w:rsidRPr="00AD12B7">
        <w:rPr>
          <w:rFonts w:ascii="Arial" w:hAnsi="Arial" w:cs="Arial"/>
        </w:rPr>
        <w:t>Régimen jurídico.</w:t>
      </w:r>
    </w:p>
    <w:p w:rsidR="00880FA4" w:rsidRPr="00AD12B7" w:rsidRDefault="00880FA4" w:rsidP="00880FA4">
      <w:pPr>
        <w:pStyle w:val="Prrafodelista"/>
        <w:rPr>
          <w:rFonts w:ascii="Arial" w:hAnsi="Arial" w:cs="Arial"/>
        </w:rPr>
      </w:pPr>
      <w:r w:rsidRPr="00AD12B7">
        <w:rPr>
          <w:rFonts w:ascii="Arial" w:hAnsi="Arial" w:cs="Arial"/>
        </w:rPr>
        <w:t>Persona Moral con Fines no Lucrativos</w:t>
      </w:r>
    </w:p>
    <w:p w:rsidR="00880FA4" w:rsidRPr="00AD12B7" w:rsidRDefault="00880FA4" w:rsidP="00880FA4">
      <w:pPr>
        <w:pStyle w:val="Prrafodelista"/>
        <w:numPr>
          <w:ilvl w:val="0"/>
          <w:numId w:val="8"/>
        </w:numPr>
        <w:rPr>
          <w:rFonts w:ascii="Arial" w:hAnsi="Arial" w:cs="Arial"/>
        </w:rPr>
      </w:pPr>
      <w:r w:rsidRPr="00AD12B7">
        <w:rPr>
          <w:rFonts w:ascii="Arial" w:hAnsi="Arial" w:cs="Arial"/>
        </w:rPr>
        <w:t xml:space="preserve">Consideraciones fiscales del ente: </w:t>
      </w:r>
    </w:p>
    <w:p w:rsidR="00880FA4" w:rsidRPr="00AD12B7" w:rsidRDefault="00880FA4" w:rsidP="00880FA4">
      <w:pPr>
        <w:pStyle w:val="Prrafodelista"/>
        <w:rPr>
          <w:rFonts w:ascii="Arial" w:hAnsi="Arial" w:cs="Arial"/>
        </w:rPr>
      </w:pPr>
      <w:r w:rsidRPr="00AD12B7">
        <w:rPr>
          <w:rFonts w:ascii="Arial" w:hAnsi="Arial" w:cs="Arial"/>
        </w:rPr>
        <w:t>Entero de retenciones mensuales de ISR por sueldos y salarios.</w:t>
      </w:r>
    </w:p>
    <w:p w:rsidR="00880FA4" w:rsidRPr="00AD12B7" w:rsidRDefault="00880FA4" w:rsidP="00880FA4">
      <w:pPr>
        <w:pStyle w:val="Prrafodelista"/>
        <w:numPr>
          <w:ilvl w:val="0"/>
          <w:numId w:val="8"/>
        </w:numPr>
        <w:rPr>
          <w:rFonts w:ascii="Arial" w:hAnsi="Arial" w:cs="Arial"/>
        </w:rPr>
      </w:pPr>
      <w:r w:rsidRPr="00AD12B7">
        <w:rPr>
          <w:rFonts w:ascii="Arial" w:hAnsi="Arial" w:cs="Arial"/>
        </w:rPr>
        <w:t>Estructura organizacional básica.</w:t>
      </w:r>
    </w:p>
    <w:p w:rsidR="00880FA4" w:rsidRPr="00AD12B7" w:rsidRDefault="00880FA4" w:rsidP="00880FA4">
      <w:pPr>
        <w:rPr>
          <w:rFonts w:ascii="Arial" w:hAnsi="Arial" w:cs="Arial"/>
        </w:rPr>
      </w:pPr>
    </w:p>
    <w:p w:rsidR="00880FA4" w:rsidRPr="00AD12B7" w:rsidRDefault="00880FA4" w:rsidP="00880FA4">
      <w:pPr>
        <w:rPr>
          <w:rFonts w:ascii="Arial" w:hAnsi="Arial" w:cs="Arial"/>
        </w:rPr>
      </w:pPr>
    </w:p>
    <w:p w:rsidR="00880FA4" w:rsidRPr="00AD12B7" w:rsidRDefault="00880FA4" w:rsidP="00880FA4">
      <w:pPr>
        <w:rPr>
          <w:rFonts w:ascii="Arial" w:hAnsi="Arial" w:cs="Arial"/>
        </w:rPr>
      </w:pPr>
      <w:r w:rsidRPr="00880FA4">
        <w:rPr>
          <w:rFonts w:ascii="Arial" w:hAnsi="Arial" w:cs="Arial"/>
          <w:noProof/>
        </w:rPr>
        <w:lastRenderedPageBreak/>
        <w:drawing>
          <wp:inline distT="0" distB="0" distL="0" distR="0">
            <wp:extent cx="4752975" cy="5524500"/>
            <wp:effectExtent l="0" t="0" r="952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52975" cy="5524500"/>
                    </a:xfrm>
                    <a:prstGeom prst="rect">
                      <a:avLst/>
                    </a:prstGeom>
                    <a:noFill/>
                    <a:ln>
                      <a:noFill/>
                    </a:ln>
                  </pic:spPr>
                </pic:pic>
              </a:graphicData>
            </a:graphic>
          </wp:inline>
        </w:drawing>
      </w:r>
    </w:p>
    <w:p w:rsidR="00880FA4" w:rsidRPr="00AD12B7" w:rsidRDefault="00880FA4" w:rsidP="00880FA4">
      <w:pPr>
        <w:rPr>
          <w:rFonts w:ascii="Arial" w:hAnsi="Arial" w:cs="Arial"/>
        </w:rPr>
      </w:pPr>
    </w:p>
    <w:p w:rsidR="00880FA4" w:rsidRPr="00AD12B7" w:rsidRDefault="00880FA4" w:rsidP="00880FA4">
      <w:pPr>
        <w:pStyle w:val="Prrafodelista"/>
        <w:jc w:val="both"/>
        <w:rPr>
          <w:rFonts w:ascii="Arial" w:hAnsi="Arial" w:cs="Arial"/>
        </w:rPr>
      </w:pPr>
    </w:p>
    <w:p w:rsidR="00880FA4" w:rsidRPr="00AD12B7" w:rsidRDefault="00880FA4" w:rsidP="00880FA4">
      <w:pPr>
        <w:pStyle w:val="Prrafodelista"/>
        <w:numPr>
          <w:ilvl w:val="0"/>
          <w:numId w:val="8"/>
        </w:numPr>
        <w:jc w:val="both"/>
        <w:rPr>
          <w:rFonts w:ascii="Arial" w:hAnsi="Arial" w:cs="Arial"/>
        </w:rPr>
      </w:pPr>
      <w:r w:rsidRPr="00AD12B7">
        <w:rPr>
          <w:rFonts w:ascii="Arial" w:hAnsi="Arial" w:cs="Arial"/>
        </w:rPr>
        <w:t>Fideicomisos, mandatos y análogos de los cuales es fideicomitente o fideicomisario.</w:t>
      </w:r>
    </w:p>
    <w:p w:rsidR="00880FA4" w:rsidRPr="00AD12B7" w:rsidRDefault="00880FA4" w:rsidP="00880FA4">
      <w:pPr>
        <w:jc w:val="both"/>
        <w:rPr>
          <w:rFonts w:ascii="Arial" w:hAnsi="Arial" w:cs="Arial"/>
          <w:b/>
          <w:bCs/>
        </w:rPr>
      </w:pPr>
      <w:r w:rsidRPr="00AD12B7">
        <w:rPr>
          <w:rFonts w:ascii="Arial" w:hAnsi="Arial" w:cs="Arial"/>
          <w:b/>
          <w:bCs/>
        </w:rPr>
        <w:t>5. Bases de Preparación de los Estados Financieros.</w:t>
      </w:r>
    </w:p>
    <w:p w:rsidR="00880FA4" w:rsidRPr="00AD12B7" w:rsidRDefault="00880FA4" w:rsidP="00880FA4">
      <w:pPr>
        <w:jc w:val="both"/>
        <w:rPr>
          <w:rFonts w:ascii="Arial" w:hAnsi="Arial" w:cs="Arial"/>
        </w:rPr>
      </w:pPr>
      <w:r w:rsidRPr="00AD12B7">
        <w:rPr>
          <w:rFonts w:ascii="Arial" w:hAnsi="Arial" w:cs="Arial"/>
        </w:rPr>
        <w:t>Se informará sobre:</w:t>
      </w:r>
    </w:p>
    <w:p w:rsidR="00880FA4" w:rsidRPr="00AD12B7" w:rsidRDefault="00880FA4" w:rsidP="00880FA4">
      <w:pPr>
        <w:pStyle w:val="Prrafodelista"/>
        <w:numPr>
          <w:ilvl w:val="0"/>
          <w:numId w:val="10"/>
        </w:numPr>
        <w:jc w:val="both"/>
        <w:rPr>
          <w:rFonts w:ascii="Arial" w:hAnsi="Arial" w:cs="Arial"/>
        </w:rPr>
      </w:pPr>
      <w:r w:rsidRPr="00AD12B7">
        <w:rPr>
          <w:rFonts w:ascii="Arial" w:hAnsi="Arial" w:cs="Arial"/>
        </w:rPr>
        <w:t>Si se ha observado la normatividad emitida por el CONAC y las disposiciones legales aplicables.</w:t>
      </w:r>
    </w:p>
    <w:p w:rsidR="00880FA4" w:rsidRPr="00AD12B7" w:rsidRDefault="00880FA4" w:rsidP="00880FA4">
      <w:pPr>
        <w:pStyle w:val="Prrafodelista"/>
        <w:numPr>
          <w:ilvl w:val="0"/>
          <w:numId w:val="10"/>
        </w:numPr>
        <w:jc w:val="both"/>
        <w:rPr>
          <w:rFonts w:ascii="Arial" w:hAnsi="Arial" w:cs="Arial"/>
        </w:rPr>
      </w:pPr>
      <w:r w:rsidRPr="00AD12B7">
        <w:rPr>
          <w:rFonts w:ascii="Arial" w:hAnsi="Arial" w:cs="Arial"/>
        </w:rPr>
        <w:t xml:space="preserve">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w:t>
      </w:r>
      <w:proofErr w:type="gramStart"/>
      <w:r w:rsidRPr="00AD12B7">
        <w:rPr>
          <w:rFonts w:ascii="Arial" w:hAnsi="Arial" w:cs="Arial"/>
        </w:rPr>
        <w:t>los mismos</w:t>
      </w:r>
      <w:proofErr w:type="gramEnd"/>
      <w:r w:rsidRPr="00AD12B7">
        <w:rPr>
          <w:rFonts w:ascii="Arial" w:hAnsi="Arial" w:cs="Arial"/>
        </w:rPr>
        <w:t>.</w:t>
      </w:r>
    </w:p>
    <w:p w:rsidR="00880FA4" w:rsidRPr="00AD12B7" w:rsidRDefault="00880FA4" w:rsidP="00880FA4">
      <w:pPr>
        <w:pStyle w:val="Prrafodelista"/>
        <w:numPr>
          <w:ilvl w:val="0"/>
          <w:numId w:val="10"/>
        </w:numPr>
        <w:jc w:val="both"/>
        <w:rPr>
          <w:rFonts w:ascii="Arial" w:hAnsi="Arial" w:cs="Arial"/>
        </w:rPr>
      </w:pPr>
      <w:r w:rsidRPr="00AD12B7">
        <w:rPr>
          <w:rFonts w:ascii="Arial" w:hAnsi="Arial" w:cs="Arial"/>
        </w:rPr>
        <w:t>Postulados básicos.</w:t>
      </w:r>
    </w:p>
    <w:p w:rsidR="00880FA4" w:rsidRPr="00AD12B7" w:rsidRDefault="00880FA4" w:rsidP="00880FA4">
      <w:pPr>
        <w:pStyle w:val="Prrafodelista"/>
        <w:numPr>
          <w:ilvl w:val="0"/>
          <w:numId w:val="10"/>
        </w:numPr>
        <w:jc w:val="both"/>
        <w:rPr>
          <w:rFonts w:ascii="Arial" w:hAnsi="Arial" w:cs="Arial"/>
        </w:rPr>
      </w:pPr>
      <w:r w:rsidRPr="00AD12B7">
        <w:rPr>
          <w:rFonts w:ascii="Arial" w:hAnsi="Arial" w:cs="Arial"/>
        </w:rPr>
        <w:t>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rsidR="00880FA4" w:rsidRPr="00AD12B7" w:rsidRDefault="00880FA4" w:rsidP="00880FA4">
      <w:pPr>
        <w:pStyle w:val="Prrafodelista"/>
        <w:numPr>
          <w:ilvl w:val="0"/>
          <w:numId w:val="10"/>
        </w:numPr>
        <w:jc w:val="both"/>
        <w:rPr>
          <w:rFonts w:ascii="Arial" w:hAnsi="Arial" w:cs="Arial"/>
        </w:rPr>
      </w:pPr>
      <w:r w:rsidRPr="00AD12B7">
        <w:rPr>
          <w:rFonts w:ascii="Arial" w:hAnsi="Arial" w:cs="Arial"/>
        </w:rPr>
        <w:t xml:space="preserve">Para las entidades que por primera vez estén implementando </w:t>
      </w:r>
      <w:proofErr w:type="gramStart"/>
      <w:r w:rsidRPr="00AD12B7">
        <w:rPr>
          <w:rFonts w:ascii="Arial" w:hAnsi="Arial" w:cs="Arial"/>
        </w:rPr>
        <w:t>la base devengado</w:t>
      </w:r>
      <w:proofErr w:type="gramEnd"/>
      <w:r w:rsidRPr="00AD12B7">
        <w:rPr>
          <w:rFonts w:ascii="Arial" w:hAnsi="Arial" w:cs="Arial"/>
        </w:rPr>
        <w:t xml:space="preserve"> de acuerdo a la Ley de Contabilidad, deberán:</w:t>
      </w:r>
    </w:p>
    <w:p w:rsidR="00880FA4" w:rsidRPr="00AD12B7" w:rsidRDefault="00880FA4" w:rsidP="00880FA4">
      <w:pPr>
        <w:pStyle w:val="Prrafodelista"/>
        <w:jc w:val="both"/>
        <w:rPr>
          <w:rFonts w:ascii="Arial" w:hAnsi="Arial" w:cs="Arial"/>
        </w:rPr>
      </w:pPr>
      <w:r w:rsidRPr="00AD12B7">
        <w:rPr>
          <w:rFonts w:ascii="Arial" w:hAnsi="Arial" w:cs="Arial"/>
        </w:rPr>
        <w:t>- Revelar las nuevas políticas de reconocimiento;</w:t>
      </w:r>
    </w:p>
    <w:p w:rsidR="00880FA4" w:rsidRPr="00AD12B7" w:rsidRDefault="00880FA4" w:rsidP="00880FA4">
      <w:pPr>
        <w:pStyle w:val="Prrafodelista"/>
        <w:jc w:val="both"/>
        <w:rPr>
          <w:rFonts w:ascii="Arial" w:hAnsi="Arial" w:cs="Arial"/>
        </w:rPr>
      </w:pPr>
      <w:r w:rsidRPr="00AD12B7">
        <w:rPr>
          <w:rFonts w:ascii="Arial" w:hAnsi="Arial" w:cs="Arial"/>
        </w:rPr>
        <w:t>- Su plan de implementación;</w:t>
      </w:r>
    </w:p>
    <w:p w:rsidR="00880FA4" w:rsidRPr="00AD12B7" w:rsidRDefault="00880FA4" w:rsidP="00880FA4">
      <w:pPr>
        <w:pStyle w:val="Prrafodelista"/>
        <w:jc w:val="both"/>
        <w:rPr>
          <w:rFonts w:ascii="Arial" w:hAnsi="Arial" w:cs="Arial"/>
        </w:rPr>
      </w:pPr>
      <w:r w:rsidRPr="00AD12B7">
        <w:rPr>
          <w:rFonts w:ascii="Arial" w:hAnsi="Arial" w:cs="Arial"/>
        </w:rPr>
        <w:t xml:space="preserve">- Revelar los cambios en las políticas, la clasificación y medición de </w:t>
      </w:r>
      <w:proofErr w:type="gramStart"/>
      <w:r w:rsidRPr="00AD12B7">
        <w:rPr>
          <w:rFonts w:ascii="Arial" w:hAnsi="Arial" w:cs="Arial"/>
        </w:rPr>
        <w:t>las mismas</w:t>
      </w:r>
      <w:proofErr w:type="gramEnd"/>
      <w:r w:rsidRPr="00AD12B7">
        <w:rPr>
          <w:rFonts w:ascii="Arial" w:hAnsi="Arial" w:cs="Arial"/>
        </w:rPr>
        <w:t>, así como su impacto en la información financiera, y</w:t>
      </w:r>
    </w:p>
    <w:p w:rsidR="00880FA4" w:rsidRPr="00AD12B7" w:rsidRDefault="00880FA4" w:rsidP="00880FA4">
      <w:pPr>
        <w:pStyle w:val="Prrafodelista"/>
        <w:jc w:val="both"/>
        <w:rPr>
          <w:rFonts w:ascii="Arial" w:hAnsi="Arial" w:cs="Arial"/>
        </w:rPr>
      </w:pPr>
      <w:r w:rsidRPr="00AD12B7">
        <w:rPr>
          <w:rFonts w:ascii="Arial" w:hAnsi="Arial" w:cs="Arial"/>
        </w:rPr>
        <w:t xml:space="preserve">Presentar los últimos estados financieros con la normatividad anteriormente utilizada con las nuevas políticas para fines de comparación en la transición </w:t>
      </w:r>
      <w:proofErr w:type="gramStart"/>
      <w:r w:rsidRPr="00AD12B7">
        <w:rPr>
          <w:rFonts w:ascii="Arial" w:hAnsi="Arial" w:cs="Arial"/>
        </w:rPr>
        <w:t>a la base devengado</w:t>
      </w:r>
      <w:proofErr w:type="gramEnd"/>
      <w:r w:rsidRPr="00AD12B7">
        <w:rPr>
          <w:rFonts w:ascii="Arial" w:hAnsi="Arial" w:cs="Arial"/>
        </w:rPr>
        <w:t>.</w:t>
      </w:r>
    </w:p>
    <w:p w:rsidR="00880FA4" w:rsidRPr="00AD12B7" w:rsidRDefault="00880FA4" w:rsidP="00880FA4">
      <w:pPr>
        <w:pStyle w:val="Prrafodelista"/>
        <w:jc w:val="both"/>
        <w:rPr>
          <w:rFonts w:ascii="Arial" w:hAnsi="Arial" w:cs="Arial"/>
        </w:rPr>
      </w:pPr>
    </w:p>
    <w:p w:rsidR="00880FA4" w:rsidRPr="00AD12B7" w:rsidRDefault="00880FA4" w:rsidP="00880FA4">
      <w:pPr>
        <w:pStyle w:val="Prrafodelista"/>
        <w:jc w:val="both"/>
        <w:rPr>
          <w:rFonts w:ascii="Arial" w:hAnsi="Arial" w:cs="Arial"/>
        </w:rPr>
      </w:pPr>
      <w:r w:rsidRPr="00AD12B7">
        <w:rPr>
          <w:rFonts w:ascii="Arial" w:hAnsi="Arial" w:cs="Arial"/>
        </w:rPr>
        <w:t xml:space="preserve">El municipio de Tamazula de Gordiano, Jalisco aplica la normatividad emitida por el </w:t>
      </w:r>
      <w:proofErr w:type="gramStart"/>
      <w:r w:rsidRPr="00AD12B7">
        <w:rPr>
          <w:rFonts w:ascii="Arial" w:hAnsi="Arial" w:cs="Arial"/>
        </w:rPr>
        <w:t>CONAC  así</w:t>
      </w:r>
      <w:proofErr w:type="gramEnd"/>
      <w:r w:rsidRPr="00AD12B7">
        <w:rPr>
          <w:rFonts w:ascii="Arial" w:hAnsi="Arial" w:cs="Arial"/>
        </w:rPr>
        <w:t xml:space="preserve"> mismo cumple con las demás disposiciones legales aplicables vigentes.</w:t>
      </w:r>
    </w:p>
    <w:p w:rsidR="00880FA4" w:rsidRPr="00AD12B7" w:rsidRDefault="00880FA4" w:rsidP="00880FA4">
      <w:pPr>
        <w:jc w:val="both"/>
        <w:rPr>
          <w:rFonts w:ascii="Arial" w:hAnsi="Arial" w:cs="Arial"/>
        </w:rPr>
      </w:pPr>
      <w:r w:rsidRPr="00AD12B7">
        <w:rPr>
          <w:rFonts w:ascii="Arial" w:hAnsi="Arial" w:cs="Arial"/>
          <w:b/>
          <w:bCs/>
        </w:rPr>
        <w:t>6. Políticas de Contabilidad Significativas</w:t>
      </w:r>
    </w:p>
    <w:p w:rsidR="00880FA4" w:rsidRPr="00AD12B7" w:rsidRDefault="00880FA4" w:rsidP="00880FA4">
      <w:pPr>
        <w:jc w:val="both"/>
        <w:rPr>
          <w:rFonts w:ascii="Arial" w:hAnsi="Arial" w:cs="Arial"/>
        </w:rPr>
      </w:pPr>
      <w:r w:rsidRPr="00AD12B7">
        <w:rPr>
          <w:rFonts w:ascii="Arial" w:hAnsi="Arial" w:cs="Arial"/>
        </w:rPr>
        <w:t>Se informará sobre:</w:t>
      </w:r>
    </w:p>
    <w:p w:rsidR="00880FA4" w:rsidRPr="00AD12B7" w:rsidRDefault="00880FA4" w:rsidP="00880FA4">
      <w:pPr>
        <w:pStyle w:val="Prrafodelista"/>
        <w:numPr>
          <w:ilvl w:val="0"/>
          <w:numId w:val="11"/>
        </w:numPr>
        <w:jc w:val="both"/>
        <w:rPr>
          <w:rFonts w:ascii="Arial" w:hAnsi="Arial" w:cs="Arial"/>
        </w:rPr>
      </w:pPr>
      <w:r w:rsidRPr="00AD12B7">
        <w:rPr>
          <w:rFonts w:ascii="Arial" w:hAnsi="Arial" w:cs="Arial"/>
        </w:rPr>
        <w:t>Actualización: se informará del método utilizado para la actualización del valor de los activos, pasivos y Hacienda Pública/Patrimonio y las razones de dicha elección. Así como informar de la desconexión o reconexión inflacionaria.</w:t>
      </w:r>
    </w:p>
    <w:p w:rsidR="00880FA4" w:rsidRPr="00AD12B7" w:rsidRDefault="00880FA4" w:rsidP="00880FA4">
      <w:pPr>
        <w:pStyle w:val="Prrafodelista"/>
        <w:numPr>
          <w:ilvl w:val="0"/>
          <w:numId w:val="11"/>
        </w:numPr>
        <w:jc w:val="both"/>
        <w:rPr>
          <w:rFonts w:ascii="Arial" w:hAnsi="Arial" w:cs="Arial"/>
        </w:rPr>
      </w:pPr>
      <w:r w:rsidRPr="00AD12B7">
        <w:rPr>
          <w:rFonts w:ascii="Arial" w:hAnsi="Arial" w:cs="Arial"/>
        </w:rPr>
        <w:t>Informar sobre la realización de operaciones en el extranjero y de sus efectos en la información financiera gubernamental.</w:t>
      </w:r>
    </w:p>
    <w:p w:rsidR="00880FA4" w:rsidRPr="00AD12B7" w:rsidRDefault="00880FA4" w:rsidP="00880FA4">
      <w:pPr>
        <w:pStyle w:val="Prrafodelista"/>
        <w:numPr>
          <w:ilvl w:val="0"/>
          <w:numId w:val="11"/>
        </w:numPr>
        <w:jc w:val="both"/>
        <w:rPr>
          <w:rFonts w:ascii="Arial" w:hAnsi="Arial" w:cs="Arial"/>
        </w:rPr>
      </w:pPr>
      <w:r w:rsidRPr="00AD12B7">
        <w:rPr>
          <w:rFonts w:ascii="Arial" w:hAnsi="Arial" w:cs="Arial"/>
        </w:rPr>
        <w:t>Método de valuación de la inversión en acciones de Compañías subsidiarias no consolidadas y asociadas.</w:t>
      </w:r>
    </w:p>
    <w:p w:rsidR="00880FA4" w:rsidRPr="00AD12B7" w:rsidRDefault="00880FA4" w:rsidP="00880FA4">
      <w:pPr>
        <w:pStyle w:val="Prrafodelista"/>
        <w:numPr>
          <w:ilvl w:val="0"/>
          <w:numId w:val="11"/>
        </w:numPr>
        <w:jc w:val="both"/>
        <w:rPr>
          <w:rFonts w:ascii="Arial" w:hAnsi="Arial" w:cs="Arial"/>
        </w:rPr>
      </w:pPr>
      <w:r w:rsidRPr="00AD12B7">
        <w:rPr>
          <w:rFonts w:ascii="Arial" w:hAnsi="Arial" w:cs="Arial"/>
        </w:rPr>
        <w:t>Sistema y método de valuación de inventarios y costo de lo vendido.</w:t>
      </w:r>
    </w:p>
    <w:p w:rsidR="00880FA4" w:rsidRPr="00AD12B7" w:rsidRDefault="00880FA4" w:rsidP="00880FA4">
      <w:pPr>
        <w:pStyle w:val="Prrafodelista"/>
        <w:numPr>
          <w:ilvl w:val="0"/>
          <w:numId w:val="11"/>
        </w:numPr>
        <w:jc w:val="both"/>
        <w:rPr>
          <w:rFonts w:ascii="Arial" w:hAnsi="Arial" w:cs="Arial"/>
        </w:rPr>
      </w:pPr>
      <w:r w:rsidRPr="00AD12B7">
        <w:rPr>
          <w:rFonts w:ascii="Arial" w:hAnsi="Arial" w:cs="Arial"/>
        </w:rPr>
        <w:lastRenderedPageBreak/>
        <w:t>Beneficios a empleados: revelar el cálculo de la reserva actuarial, valor presente de los ingresos esperados comparado con el valor presente de la estimación de gastos tanto de los beneficiarios actuales como futuros.</w:t>
      </w:r>
    </w:p>
    <w:p w:rsidR="00880FA4" w:rsidRPr="00AD12B7" w:rsidRDefault="00880FA4" w:rsidP="00880FA4">
      <w:pPr>
        <w:pStyle w:val="Prrafodelista"/>
        <w:numPr>
          <w:ilvl w:val="0"/>
          <w:numId w:val="11"/>
        </w:numPr>
        <w:jc w:val="both"/>
        <w:rPr>
          <w:rFonts w:ascii="Arial" w:hAnsi="Arial" w:cs="Arial"/>
        </w:rPr>
      </w:pPr>
      <w:r w:rsidRPr="00AD12B7">
        <w:rPr>
          <w:rFonts w:ascii="Arial" w:hAnsi="Arial" w:cs="Arial"/>
        </w:rPr>
        <w:t>Provisiones: objetivo de su creación, monto y plazo.</w:t>
      </w:r>
    </w:p>
    <w:p w:rsidR="00880FA4" w:rsidRPr="00AD12B7" w:rsidRDefault="00880FA4" w:rsidP="00880FA4">
      <w:pPr>
        <w:pStyle w:val="Prrafodelista"/>
        <w:numPr>
          <w:ilvl w:val="0"/>
          <w:numId w:val="11"/>
        </w:numPr>
        <w:jc w:val="both"/>
        <w:rPr>
          <w:rFonts w:ascii="Arial" w:hAnsi="Arial" w:cs="Arial"/>
        </w:rPr>
      </w:pPr>
      <w:r w:rsidRPr="00AD12B7">
        <w:rPr>
          <w:rFonts w:ascii="Arial" w:hAnsi="Arial" w:cs="Arial"/>
        </w:rPr>
        <w:t>Reservas: objetivo de su creación, monto y plazo.</w:t>
      </w:r>
    </w:p>
    <w:p w:rsidR="00880FA4" w:rsidRPr="00AD12B7" w:rsidRDefault="00880FA4" w:rsidP="00880FA4">
      <w:pPr>
        <w:pStyle w:val="Prrafodelista"/>
        <w:numPr>
          <w:ilvl w:val="0"/>
          <w:numId w:val="11"/>
        </w:numPr>
        <w:jc w:val="both"/>
        <w:rPr>
          <w:rFonts w:ascii="Arial" w:hAnsi="Arial" w:cs="Arial"/>
        </w:rPr>
      </w:pPr>
      <w:r w:rsidRPr="00AD12B7">
        <w:rPr>
          <w:rFonts w:ascii="Arial" w:hAnsi="Arial" w:cs="Arial"/>
        </w:rPr>
        <w:t>Cambios en políticas contables y corrección de errores junto con la revelación de los efectos que se tendrá en la información financiera del ente público, ya sea retrospectivos o prospectivos.</w:t>
      </w:r>
    </w:p>
    <w:p w:rsidR="00880FA4" w:rsidRPr="00AD12B7" w:rsidRDefault="00880FA4" w:rsidP="00880FA4">
      <w:pPr>
        <w:pStyle w:val="Prrafodelista"/>
        <w:numPr>
          <w:ilvl w:val="0"/>
          <w:numId w:val="11"/>
        </w:numPr>
        <w:jc w:val="both"/>
        <w:rPr>
          <w:rFonts w:ascii="Arial" w:hAnsi="Arial" w:cs="Arial"/>
        </w:rPr>
      </w:pPr>
      <w:r w:rsidRPr="00AD12B7">
        <w:rPr>
          <w:rFonts w:ascii="Arial" w:hAnsi="Arial" w:cs="Arial"/>
        </w:rPr>
        <w:t>Reclasificaciones: se deben revelar todos aquellos movimientos entre cuentas por efectos de cambios en los tipos de operaciones.</w:t>
      </w:r>
    </w:p>
    <w:p w:rsidR="00880FA4" w:rsidRPr="00AD12B7" w:rsidRDefault="00880FA4" w:rsidP="00880FA4">
      <w:pPr>
        <w:pStyle w:val="Prrafodelista"/>
        <w:numPr>
          <w:ilvl w:val="0"/>
          <w:numId w:val="11"/>
        </w:numPr>
        <w:jc w:val="both"/>
        <w:rPr>
          <w:rFonts w:ascii="Arial" w:hAnsi="Arial" w:cs="Arial"/>
        </w:rPr>
      </w:pPr>
      <w:r w:rsidRPr="00AD12B7">
        <w:rPr>
          <w:rFonts w:ascii="Arial" w:hAnsi="Arial" w:cs="Arial"/>
        </w:rPr>
        <w:t>Depuración y cancelación de saldos.</w:t>
      </w:r>
    </w:p>
    <w:p w:rsidR="00880FA4" w:rsidRPr="00AD12B7" w:rsidRDefault="00880FA4" w:rsidP="00880FA4">
      <w:pPr>
        <w:pStyle w:val="Prrafodelista"/>
        <w:jc w:val="both"/>
        <w:rPr>
          <w:rFonts w:ascii="Arial" w:hAnsi="Arial" w:cs="Arial"/>
        </w:rPr>
      </w:pPr>
    </w:p>
    <w:p w:rsidR="00880FA4" w:rsidRPr="00AD12B7" w:rsidRDefault="00880FA4" w:rsidP="00880FA4">
      <w:pPr>
        <w:jc w:val="both"/>
        <w:rPr>
          <w:rFonts w:ascii="Arial" w:hAnsi="Arial" w:cs="Arial"/>
          <w:b/>
          <w:bCs/>
        </w:rPr>
      </w:pPr>
      <w:r w:rsidRPr="00AD12B7">
        <w:rPr>
          <w:rFonts w:ascii="Arial" w:hAnsi="Arial" w:cs="Arial"/>
          <w:b/>
          <w:bCs/>
        </w:rPr>
        <w:t>7. Posición en Moneda Extranjera y Protección por Riesgo Cambiario.</w:t>
      </w:r>
    </w:p>
    <w:p w:rsidR="00880FA4" w:rsidRPr="00AD12B7" w:rsidRDefault="00880FA4" w:rsidP="00880FA4">
      <w:pPr>
        <w:jc w:val="both"/>
        <w:rPr>
          <w:rFonts w:ascii="Arial" w:hAnsi="Arial" w:cs="Arial"/>
        </w:rPr>
      </w:pPr>
      <w:r w:rsidRPr="00AD12B7">
        <w:rPr>
          <w:rFonts w:ascii="Arial" w:hAnsi="Arial" w:cs="Arial"/>
        </w:rPr>
        <w:t>Se informará sobre:</w:t>
      </w:r>
    </w:p>
    <w:p w:rsidR="00880FA4" w:rsidRPr="00AD12B7" w:rsidRDefault="00880FA4" w:rsidP="00880FA4">
      <w:pPr>
        <w:pStyle w:val="Prrafodelista"/>
        <w:numPr>
          <w:ilvl w:val="0"/>
          <w:numId w:val="13"/>
        </w:numPr>
        <w:jc w:val="both"/>
        <w:rPr>
          <w:rFonts w:ascii="Arial" w:hAnsi="Arial" w:cs="Arial"/>
        </w:rPr>
      </w:pPr>
      <w:r w:rsidRPr="00AD12B7">
        <w:rPr>
          <w:rFonts w:ascii="Arial" w:hAnsi="Arial" w:cs="Arial"/>
        </w:rPr>
        <w:t>Activos en moneda extranjera.</w:t>
      </w:r>
    </w:p>
    <w:p w:rsidR="00880FA4" w:rsidRPr="00AD12B7" w:rsidRDefault="00880FA4" w:rsidP="00880FA4">
      <w:pPr>
        <w:pStyle w:val="Prrafodelista"/>
        <w:numPr>
          <w:ilvl w:val="0"/>
          <w:numId w:val="13"/>
        </w:numPr>
        <w:jc w:val="both"/>
        <w:rPr>
          <w:rFonts w:ascii="Arial" w:hAnsi="Arial" w:cs="Arial"/>
        </w:rPr>
      </w:pPr>
      <w:r w:rsidRPr="00AD12B7">
        <w:rPr>
          <w:rFonts w:ascii="Arial" w:hAnsi="Arial" w:cs="Arial"/>
        </w:rPr>
        <w:t>Pasivos en moneda extranjera.</w:t>
      </w:r>
    </w:p>
    <w:p w:rsidR="00880FA4" w:rsidRPr="00AD12B7" w:rsidRDefault="00880FA4" w:rsidP="00880FA4">
      <w:pPr>
        <w:pStyle w:val="Prrafodelista"/>
        <w:numPr>
          <w:ilvl w:val="0"/>
          <w:numId w:val="13"/>
        </w:numPr>
        <w:jc w:val="both"/>
        <w:rPr>
          <w:rFonts w:ascii="Arial" w:hAnsi="Arial" w:cs="Arial"/>
        </w:rPr>
      </w:pPr>
      <w:r w:rsidRPr="00AD12B7">
        <w:rPr>
          <w:rFonts w:ascii="Arial" w:hAnsi="Arial" w:cs="Arial"/>
        </w:rPr>
        <w:t>Posición en moneda extranjera.</w:t>
      </w:r>
    </w:p>
    <w:p w:rsidR="00880FA4" w:rsidRPr="00AD12B7" w:rsidRDefault="00880FA4" w:rsidP="00880FA4">
      <w:pPr>
        <w:pStyle w:val="Prrafodelista"/>
        <w:numPr>
          <w:ilvl w:val="0"/>
          <w:numId w:val="13"/>
        </w:numPr>
        <w:jc w:val="both"/>
        <w:rPr>
          <w:rFonts w:ascii="Arial" w:hAnsi="Arial" w:cs="Arial"/>
        </w:rPr>
      </w:pPr>
      <w:r w:rsidRPr="00AD12B7">
        <w:rPr>
          <w:rFonts w:ascii="Arial" w:hAnsi="Arial" w:cs="Arial"/>
        </w:rPr>
        <w:t>Tipo de cambio.</w:t>
      </w:r>
    </w:p>
    <w:p w:rsidR="00880FA4" w:rsidRPr="00AD12B7" w:rsidRDefault="00880FA4" w:rsidP="00880FA4">
      <w:pPr>
        <w:pStyle w:val="Prrafodelista"/>
        <w:numPr>
          <w:ilvl w:val="0"/>
          <w:numId w:val="13"/>
        </w:numPr>
        <w:jc w:val="both"/>
        <w:rPr>
          <w:rFonts w:ascii="Arial" w:hAnsi="Arial" w:cs="Arial"/>
        </w:rPr>
      </w:pPr>
      <w:r w:rsidRPr="00AD12B7">
        <w:rPr>
          <w:rFonts w:ascii="Arial" w:hAnsi="Arial" w:cs="Arial"/>
        </w:rPr>
        <w:t>Equivalente en moneda nacional.</w:t>
      </w:r>
    </w:p>
    <w:p w:rsidR="00880FA4" w:rsidRPr="00AD12B7" w:rsidRDefault="00880FA4" w:rsidP="00880FA4">
      <w:pPr>
        <w:pStyle w:val="Default"/>
        <w:jc w:val="both"/>
        <w:rPr>
          <w:sz w:val="22"/>
          <w:szCs w:val="22"/>
        </w:rPr>
      </w:pPr>
      <w:r w:rsidRPr="00AD12B7">
        <w:rPr>
          <w:sz w:val="22"/>
          <w:szCs w:val="22"/>
        </w:rPr>
        <w:t xml:space="preserve">Lo anterior, por cada tipo de moneda extranjera que se encuentre en los rubros de activo y pasivo. </w:t>
      </w:r>
    </w:p>
    <w:p w:rsidR="00880FA4" w:rsidRPr="00AD12B7" w:rsidRDefault="00880FA4" w:rsidP="00880FA4">
      <w:pPr>
        <w:pStyle w:val="Prrafodelista"/>
        <w:ind w:left="0"/>
        <w:jc w:val="both"/>
        <w:rPr>
          <w:rFonts w:ascii="Arial" w:hAnsi="Arial" w:cs="Arial"/>
        </w:rPr>
      </w:pPr>
      <w:r w:rsidRPr="00AD12B7">
        <w:rPr>
          <w:rFonts w:ascii="Arial" w:hAnsi="Arial" w:cs="Arial"/>
        </w:rPr>
        <w:t>Adicionalmente, se informará sobre los métodos de protección de riesgo por variaciones en el tipo de cambio.</w:t>
      </w:r>
    </w:p>
    <w:p w:rsidR="00880FA4" w:rsidRPr="00AD12B7" w:rsidRDefault="00880FA4" w:rsidP="00880FA4">
      <w:pPr>
        <w:jc w:val="both"/>
        <w:rPr>
          <w:rFonts w:ascii="Arial" w:hAnsi="Arial" w:cs="Arial"/>
          <w:b/>
          <w:bCs/>
        </w:rPr>
      </w:pPr>
      <w:r w:rsidRPr="00AD12B7">
        <w:rPr>
          <w:rFonts w:ascii="Arial" w:hAnsi="Arial" w:cs="Arial"/>
          <w:b/>
          <w:bCs/>
        </w:rPr>
        <w:t>8. Reporte Analítico del Activo.</w:t>
      </w:r>
    </w:p>
    <w:p w:rsidR="00880FA4" w:rsidRPr="00AD12B7" w:rsidRDefault="00880FA4" w:rsidP="00880FA4">
      <w:pPr>
        <w:jc w:val="both"/>
        <w:rPr>
          <w:rFonts w:ascii="Arial" w:hAnsi="Arial" w:cs="Arial"/>
        </w:rPr>
      </w:pPr>
      <w:r w:rsidRPr="00AD12B7">
        <w:rPr>
          <w:rFonts w:ascii="Arial" w:hAnsi="Arial" w:cs="Arial"/>
        </w:rPr>
        <w:t>Debe mostrar la siguiente información:</w:t>
      </w:r>
    </w:p>
    <w:p w:rsidR="00880FA4" w:rsidRPr="00AD12B7" w:rsidRDefault="00880FA4" w:rsidP="00880FA4">
      <w:pPr>
        <w:pStyle w:val="Prrafodelista"/>
        <w:numPr>
          <w:ilvl w:val="0"/>
          <w:numId w:val="15"/>
        </w:numPr>
        <w:jc w:val="both"/>
        <w:rPr>
          <w:rFonts w:ascii="Arial" w:hAnsi="Arial" w:cs="Arial"/>
        </w:rPr>
      </w:pPr>
      <w:r w:rsidRPr="00AD12B7">
        <w:rPr>
          <w:rFonts w:ascii="Arial" w:hAnsi="Arial" w:cs="Arial"/>
        </w:rPr>
        <w:t>Vida útil o porcentajes de depreciación, deterioro o amortización utilizados en los diferentes tipos de activos.</w:t>
      </w:r>
    </w:p>
    <w:p w:rsidR="00880FA4" w:rsidRPr="00AD12B7" w:rsidRDefault="00880FA4" w:rsidP="00880FA4">
      <w:pPr>
        <w:pStyle w:val="Prrafodelista"/>
        <w:numPr>
          <w:ilvl w:val="0"/>
          <w:numId w:val="15"/>
        </w:numPr>
        <w:jc w:val="both"/>
        <w:rPr>
          <w:rFonts w:ascii="Arial" w:hAnsi="Arial" w:cs="Arial"/>
        </w:rPr>
      </w:pPr>
      <w:r w:rsidRPr="00AD12B7">
        <w:rPr>
          <w:rFonts w:ascii="Arial" w:hAnsi="Arial" w:cs="Arial"/>
        </w:rPr>
        <w:t>Cambios en el porcentaje de depreciación o valor residual de los activos.</w:t>
      </w:r>
    </w:p>
    <w:p w:rsidR="00880FA4" w:rsidRPr="00AD12B7" w:rsidRDefault="00880FA4" w:rsidP="00880FA4">
      <w:pPr>
        <w:pStyle w:val="Prrafodelista"/>
        <w:numPr>
          <w:ilvl w:val="0"/>
          <w:numId w:val="15"/>
        </w:numPr>
        <w:jc w:val="both"/>
        <w:rPr>
          <w:rFonts w:ascii="Arial" w:hAnsi="Arial" w:cs="Arial"/>
        </w:rPr>
      </w:pPr>
      <w:r w:rsidRPr="00AD12B7">
        <w:rPr>
          <w:rFonts w:ascii="Arial" w:hAnsi="Arial" w:cs="Arial"/>
        </w:rPr>
        <w:t>Importe de los gastos capitalizados en el ejercicio, tanto financieros como de investigación y desarrollo.</w:t>
      </w:r>
    </w:p>
    <w:p w:rsidR="00880FA4" w:rsidRPr="00AD12B7" w:rsidRDefault="00880FA4" w:rsidP="00880FA4">
      <w:pPr>
        <w:pStyle w:val="Prrafodelista"/>
        <w:numPr>
          <w:ilvl w:val="0"/>
          <w:numId w:val="15"/>
        </w:numPr>
        <w:jc w:val="both"/>
        <w:rPr>
          <w:rFonts w:ascii="Arial" w:hAnsi="Arial" w:cs="Arial"/>
        </w:rPr>
      </w:pPr>
      <w:r w:rsidRPr="00AD12B7">
        <w:rPr>
          <w:rFonts w:ascii="Arial" w:hAnsi="Arial" w:cs="Arial"/>
        </w:rPr>
        <w:t>Riesgos por tipo de cambio o tipo de interés de las inversiones financieras.</w:t>
      </w:r>
    </w:p>
    <w:p w:rsidR="00880FA4" w:rsidRPr="00AD12B7" w:rsidRDefault="00880FA4" w:rsidP="00880FA4">
      <w:pPr>
        <w:pStyle w:val="Prrafodelista"/>
        <w:numPr>
          <w:ilvl w:val="0"/>
          <w:numId w:val="15"/>
        </w:numPr>
        <w:jc w:val="both"/>
        <w:rPr>
          <w:rFonts w:ascii="Arial" w:hAnsi="Arial" w:cs="Arial"/>
        </w:rPr>
      </w:pPr>
      <w:r w:rsidRPr="00AD12B7">
        <w:rPr>
          <w:rFonts w:ascii="Arial" w:hAnsi="Arial" w:cs="Arial"/>
        </w:rPr>
        <w:t>Valor activado en el ejercicio de los bienes construidos por la entidad.</w:t>
      </w:r>
    </w:p>
    <w:p w:rsidR="00880FA4" w:rsidRPr="00AD12B7" w:rsidRDefault="00880FA4" w:rsidP="00880FA4">
      <w:pPr>
        <w:pStyle w:val="Prrafodelista"/>
        <w:numPr>
          <w:ilvl w:val="0"/>
          <w:numId w:val="15"/>
        </w:numPr>
        <w:jc w:val="both"/>
        <w:rPr>
          <w:rFonts w:ascii="Arial" w:hAnsi="Arial" w:cs="Arial"/>
        </w:rPr>
      </w:pPr>
      <w:r w:rsidRPr="00AD12B7">
        <w:rPr>
          <w:rFonts w:ascii="Arial" w:hAnsi="Arial" w:cs="Arial"/>
        </w:rPr>
        <w:t>Otras circunstancias de carácter significativo que afecten el activo, tales como bienes en garantía, señalados en embargos, litigios, títulos de inversiones entregados en garantías, baja significativa del valor de inversiones financieras, etc.</w:t>
      </w:r>
    </w:p>
    <w:p w:rsidR="00880FA4" w:rsidRPr="00AD12B7" w:rsidRDefault="00880FA4" w:rsidP="00880FA4">
      <w:pPr>
        <w:pStyle w:val="Prrafodelista"/>
        <w:numPr>
          <w:ilvl w:val="0"/>
          <w:numId w:val="15"/>
        </w:numPr>
        <w:jc w:val="both"/>
        <w:rPr>
          <w:rFonts w:ascii="Arial" w:hAnsi="Arial" w:cs="Arial"/>
        </w:rPr>
      </w:pPr>
      <w:r w:rsidRPr="00AD12B7">
        <w:rPr>
          <w:rFonts w:ascii="Arial" w:hAnsi="Arial" w:cs="Arial"/>
        </w:rPr>
        <w:t>Desmantelamiento de Activos, procedimientos, implicaciones, efectos contables.</w:t>
      </w:r>
    </w:p>
    <w:p w:rsidR="00880FA4" w:rsidRPr="00AD12B7" w:rsidRDefault="00880FA4" w:rsidP="00880FA4">
      <w:pPr>
        <w:pStyle w:val="Prrafodelista"/>
        <w:numPr>
          <w:ilvl w:val="0"/>
          <w:numId w:val="15"/>
        </w:numPr>
        <w:jc w:val="both"/>
        <w:rPr>
          <w:rFonts w:ascii="Arial" w:hAnsi="Arial" w:cs="Arial"/>
        </w:rPr>
      </w:pPr>
      <w:r w:rsidRPr="00AD12B7">
        <w:rPr>
          <w:rFonts w:ascii="Arial" w:hAnsi="Arial" w:cs="Arial"/>
        </w:rPr>
        <w:lastRenderedPageBreak/>
        <w:t>Administración de activos; planeación con el objetivo de que el ente los utilice de manera más efectiva.</w:t>
      </w:r>
    </w:p>
    <w:p w:rsidR="00880FA4" w:rsidRPr="00AD12B7" w:rsidRDefault="00880FA4" w:rsidP="00880FA4">
      <w:pPr>
        <w:jc w:val="both"/>
        <w:rPr>
          <w:rFonts w:ascii="Arial" w:hAnsi="Arial" w:cs="Arial"/>
        </w:rPr>
      </w:pPr>
      <w:r w:rsidRPr="00AD12B7">
        <w:rPr>
          <w:rFonts w:ascii="Arial" w:hAnsi="Arial" w:cs="Arial"/>
        </w:rPr>
        <w:t>Adicionalmente, se deben incluir las explicaciones de las principales variaciones en el activo, en cuadros comparativos como sigue:</w:t>
      </w:r>
    </w:p>
    <w:p w:rsidR="00880FA4" w:rsidRPr="00AD12B7" w:rsidRDefault="00880FA4" w:rsidP="00880FA4">
      <w:pPr>
        <w:pStyle w:val="Prrafodelista"/>
        <w:numPr>
          <w:ilvl w:val="0"/>
          <w:numId w:val="16"/>
        </w:numPr>
        <w:jc w:val="both"/>
        <w:rPr>
          <w:rFonts w:ascii="Arial" w:hAnsi="Arial" w:cs="Arial"/>
        </w:rPr>
      </w:pPr>
      <w:r w:rsidRPr="00AD12B7">
        <w:rPr>
          <w:rFonts w:ascii="Arial" w:hAnsi="Arial" w:cs="Arial"/>
        </w:rPr>
        <w:t>Inversiones en valores.</w:t>
      </w:r>
    </w:p>
    <w:p w:rsidR="00880FA4" w:rsidRPr="00AD12B7" w:rsidRDefault="00880FA4" w:rsidP="00880FA4">
      <w:pPr>
        <w:pStyle w:val="Prrafodelista"/>
        <w:numPr>
          <w:ilvl w:val="0"/>
          <w:numId w:val="16"/>
        </w:numPr>
        <w:jc w:val="both"/>
        <w:rPr>
          <w:rFonts w:ascii="Arial" w:hAnsi="Arial" w:cs="Arial"/>
        </w:rPr>
      </w:pPr>
      <w:r w:rsidRPr="00AD12B7">
        <w:rPr>
          <w:rFonts w:ascii="Arial" w:hAnsi="Arial" w:cs="Arial"/>
        </w:rPr>
        <w:t>Patrimonio de Organismos descentralizados de Control Presupuestario Indirecto.</w:t>
      </w:r>
    </w:p>
    <w:p w:rsidR="00880FA4" w:rsidRPr="00AD12B7" w:rsidRDefault="00880FA4" w:rsidP="00880FA4">
      <w:pPr>
        <w:pStyle w:val="Prrafodelista"/>
        <w:numPr>
          <w:ilvl w:val="0"/>
          <w:numId w:val="16"/>
        </w:numPr>
        <w:jc w:val="both"/>
        <w:rPr>
          <w:rFonts w:ascii="Arial" w:hAnsi="Arial" w:cs="Arial"/>
        </w:rPr>
      </w:pPr>
      <w:r w:rsidRPr="00AD12B7">
        <w:rPr>
          <w:rFonts w:ascii="Arial" w:hAnsi="Arial" w:cs="Arial"/>
        </w:rPr>
        <w:t>Inversiones en empresas de participación mayoritaria.</w:t>
      </w:r>
    </w:p>
    <w:p w:rsidR="00880FA4" w:rsidRPr="00AD12B7" w:rsidRDefault="00880FA4" w:rsidP="00880FA4">
      <w:pPr>
        <w:pStyle w:val="Prrafodelista"/>
        <w:numPr>
          <w:ilvl w:val="0"/>
          <w:numId w:val="16"/>
        </w:numPr>
        <w:jc w:val="both"/>
        <w:rPr>
          <w:rFonts w:ascii="Arial" w:hAnsi="Arial" w:cs="Arial"/>
        </w:rPr>
      </w:pPr>
      <w:r w:rsidRPr="00AD12B7">
        <w:rPr>
          <w:rFonts w:ascii="Arial" w:hAnsi="Arial" w:cs="Arial"/>
        </w:rPr>
        <w:t>Inversiones en empresas de participación minoritaria.</w:t>
      </w:r>
    </w:p>
    <w:p w:rsidR="00880FA4" w:rsidRPr="00AD12B7" w:rsidRDefault="00880FA4" w:rsidP="00880FA4">
      <w:pPr>
        <w:pStyle w:val="Prrafodelista"/>
        <w:numPr>
          <w:ilvl w:val="0"/>
          <w:numId w:val="16"/>
        </w:numPr>
        <w:jc w:val="both"/>
        <w:rPr>
          <w:rFonts w:ascii="Arial" w:hAnsi="Arial" w:cs="Arial"/>
        </w:rPr>
      </w:pPr>
      <w:r w:rsidRPr="00AD12B7">
        <w:rPr>
          <w:rFonts w:ascii="Arial" w:hAnsi="Arial" w:cs="Arial"/>
        </w:rPr>
        <w:t>Patrimonio de organismos descentralizados de control presupuestario directo, según corresponda.</w:t>
      </w:r>
    </w:p>
    <w:p w:rsidR="00880FA4" w:rsidRPr="00AD12B7" w:rsidRDefault="00880FA4" w:rsidP="00880FA4">
      <w:pPr>
        <w:jc w:val="both"/>
        <w:rPr>
          <w:rFonts w:ascii="Arial" w:hAnsi="Arial" w:cs="Arial"/>
          <w:b/>
          <w:bCs/>
        </w:rPr>
      </w:pPr>
      <w:r w:rsidRPr="00AD12B7">
        <w:rPr>
          <w:rFonts w:ascii="Arial" w:hAnsi="Arial" w:cs="Arial"/>
          <w:b/>
          <w:bCs/>
        </w:rPr>
        <w:t>9. Fideicomisos, Mandatos y Análogos</w:t>
      </w:r>
    </w:p>
    <w:p w:rsidR="00880FA4" w:rsidRPr="00AD12B7" w:rsidRDefault="00880FA4" w:rsidP="00880FA4">
      <w:pPr>
        <w:jc w:val="both"/>
        <w:rPr>
          <w:rFonts w:ascii="Arial" w:hAnsi="Arial" w:cs="Arial"/>
        </w:rPr>
      </w:pPr>
      <w:r w:rsidRPr="00AD12B7">
        <w:rPr>
          <w:rFonts w:ascii="Arial" w:hAnsi="Arial" w:cs="Arial"/>
        </w:rPr>
        <w:t>Se deberá informar:</w:t>
      </w:r>
    </w:p>
    <w:p w:rsidR="00880FA4" w:rsidRPr="00AD12B7" w:rsidRDefault="00880FA4" w:rsidP="00880FA4">
      <w:pPr>
        <w:pStyle w:val="Prrafodelista"/>
        <w:numPr>
          <w:ilvl w:val="0"/>
          <w:numId w:val="17"/>
        </w:numPr>
        <w:jc w:val="both"/>
        <w:rPr>
          <w:rFonts w:ascii="Arial" w:hAnsi="Arial" w:cs="Arial"/>
        </w:rPr>
      </w:pPr>
      <w:r w:rsidRPr="00AD12B7">
        <w:rPr>
          <w:rFonts w:ascii="Arial" w:hAnsi="Arial" w:cs="Arial"/>
        </w:rPr>
        <w:t>Por ramo administrativo que los reporta.</w:t>
      </w:r>
    </w:p>
    <w:p w:rsidR="00880FA4" w:rsidRPr="00AD12B7" w:rsidRDefault="00880FA4" w:rsidP="00880FA4">
      <w:pPr>
        <w:pStyle w:val="Prrafodelista"/>
        <w:numPr>
          <w:ilvl w:val="0"/>
          <w:numId w:val="17"/>
        </w:numPr>
        <w:jc w:val="both"/>
        <w:rPr>
          <w:rFonts w:ascii="Arial" w:hAnsi="Arial" w:cs="Arial"/>
        </w:rPr>
      </w:pPr>
      <w:r w:rsidRPr="00AD12B7">
        <w:rPr>
          <w:rFonts w:ascii="Arial" w:hAnsi="Arial" w:cs="Arial"/>
        </w:rPr>
        <w:t>Enlistar los de mayor monto de disponibilidad, relacionando aquéllos que conforman el 80% de las disponibilidades.</w:t>
      </w:r>
    </w:p>
    <w:p w:rsidR="00880FA4" w:rsidRPr="00AD12B7" w:rsidRDefault="00880FA4" w:rsidP="00880FA4">
      <w:pPr>
        <w:jc w:val="both"/>
        <w:rPr>
          <w:rFonts w:ascii="Arial" w:hAnsi="Arial" w:cs="Arial"/>
          <w:b/>
          <w:bCs/>
        </w:rPr>
      </w:pPr>
      <w:r w:rsidRPr="00AD12B7">
        <w:rPr>
          <w:rFonts w:ascii="Arial" w:hAnsi="Arial" w:cs="Arial"/>
          <w:b/>
          <w:bCs/>
        </w:rPr>
        <w:t>10. Reporte de la Recaudación</w:t>
      </w:r>
    </w:p>
    <w:p w:rsidR="00880FA4" w:rsidRDefault="00880FA4" w:rsidP="00880FA4">
      <w:pPr>
        <w:pStyle w:val="Default"/>
        <w:numPr>
          <w:ilvl w:val="0"/>
          <w:numId w:val="18"/>
        </w:numPr>
        <w:jc w:val="both"/>
        <w:rPr>
          <w:sz w:val="22"/>
          <w:szCs w:val="22"/>
        </w:rPr>
      </w:pPr>
      <w:r w:rsidRPr="00AD12B7">
        <w:rPr>
          <w:sz w:val="22"/>
          <w:szCs w:val="22"/>
        </w:rPr>
        <w:t xml:space="preserve">Análisis del comportamiento de la recaudación correspondiente al ente público o cualquier tipo de ingreso, de forma separada los ingresos locales de los federales. </w:t>
      </w:r>
    </w:p>
    <w:p w:rsidR="00880FA4" w:rsidRDefault="00880FA4" w:rsidP="00880FA4">
      <w:pPr>
        <w:pStyle w:val="Default"/>
        <w:ind w:left="720"/>
        <w:jc w:val="both"/>
        <w:rPr>
          <w:sz w:val="22"/>
          <w:szCs w:val="22"/>
        </w:rPr>
      </w:pPr>
    </w:p>
    <w:tbl>
      <w:tblPr>
        <w:tblW w:w="5000" w:type="pct"/>
        <w:tblCellMar>
          <w:left w:w="70" w:type="dxa"/>
          <w:right w:w="70" w:type="dxa"/>
        </w:tblCellMar>
        <w:tblLook w:val="04A0" w:firstRow="1" w:lastRow="0" w:firstColumn="1" w:lastColumn="0" w:noHBand="0" w:noVBand="1"/>
      </w:tblPr>
      <w:tblGrid>
        <w:gridCol w:w="285"/>
        <w:gridCol w:w="1060"/>
        <w:gridCol w:w="6681"/>
        <w:gridCol w:w="2428"/>
        <w:gridCol w:w="2552"/>
      </w:tblGrid>
      <w:tr w:rsidR="00880FA4" w:rsidRPr="00880FA4" w:rsidTr="00880FA4">
        <w:trPr>
          <w:trHeight w:val="360"/>
        </w:trPr>
        <w:tc>
          <w:tcPr>
            <w:tcW w:w="203"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4"/>
                <w:szCs w:val="24"/>
                <w:lang w:eastAsia="es-MX"/>
              </w:rPr>
            </w:pPr>
          </w:p>
        </w:tc>
        <w:tc>
          <w:tcPr>
            <w:tcW w:w="453"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Arial" w:eastAsia="Times New Roman" w:hAnsi="Arial" w:cs="Arial"/>
                <w:color w:val="000000"/>
                <w:sz w:val="20"/>
                <w:szCs w:val="20"/>
                <w:lang w:eastAsia="es-MX"/>
              </w:rPr>
            </w:pPr>
            <w:r w:rsidRPr="00880FA4">
              <w:rPr>
                <w:rFonts w:ascii="Arial" w:eastAsia="Times New Roman" w:hAnsi="Arial" w:cs="Arial"/>
                <w:noProof/>
                <w:color w:val="000000"/>
                <w:sz w:val="20"/>
                <w:szCs w:val="20"/>
                <w:lang w:eastAsia="es-MX"/>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666750" cy="800100"/>
                  <wp:effectExtent l="0" t="0" r="0" b="0"/>
                  <wp:wrapNone/>
                  <wp:docPr id="1025" name="Imagen 1025">
                    <a:extLst xmlns:a="http://schemas.openxmlformats.org/drawingml/2006/main">
                      <a:ext uri="{FF2B5EF4-FFF2-40B4-BE49-F238E27FC236}">
                        <a16:creationId xmlns:a16="http://schemas.microsoft.com/office/drawing/2014/main" id="{D920BD50-1C80-41B7-868A-CD2A55C776C1}"/>
                      </a:ext>
                    </a:extLst>
                  </wp:docPr>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D920BD50-1C80-41B7-868A-CD2A55C776C1}"/>
                              </a:ext>
                            </a:extLst>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6750" cy="800100"/>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920"/>
            </w:tblGrid>
            <w:tr w:rsidR="00880FA4" w:rsidRPr="00880FA4">
              <w:trPr>
                <w:trHeight w:val="360"/>
                <w:tblCellSpacing w:w="0" w:type="dxa"/>
              </w:trPr>
              <w:tc>
                <w:tcPr>
                  <w:tcW w:w="920" w:type="dxa"/>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Arial" w:eastAsia="Times New Roman" w:hAnsi="Arial" w:cs="Arial"/>
                      <w:color w:val="000000"/>
                      <w:sz w:val="20"/>
                      <w:szCs w:val="20"/>
                      <w:lang w:eastAsia="es-MX"/>
                    </w:rPr>
                  </w:pPr>
                </w:p>
              </w:tc>
            </w:tr>
          </w:tbl>
          <w:p w:rsidR="00880FA4" w:rsidRPr="00880FA4" w:rsidRDefault="00880FA4" w:rsidP="00880FA4">
            <w:pPr>
              <w:spacing w:after="0" w:line="240" w:lineRule="auto"/>
              <w:rPr>
                <w:rFonts w:ascii="Arial" w:eastAsia="Times New Roman" w:hAnsi="Arial" w:cs="Arial"/>
                <w:color w:val="000000"/>
                <w:sz w:val="20"/>
                <w:szCs w:val="20"/>
                <w:lang w:eastAsia="es-MX"/>
              </w:rPr>
            </w:pPr>
          </w:p>
        </w:tc>
        <w:tc>
          <w:tcPr>
            <w:tcW w:w="2196"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jc w:val="center"/>
              <w:rPr>
                <w:rFonts w:ascii="Tahoma" w:eastAsia="Times New Roman" w:hAnsi="Tahoma" w:cs="Tahoma"/>
                <w:color w:val="000000"/>
                <w:sz w:val="28"/>
                <w:szCs w:val="28"/>
                <w:lang w:eastAsia="es-MX"/>
              </w:rPr>
            </w:pPr>
            <w:r w:rsidRPr="00880FA4">
              <w:rPr>
                <w:rFonts w:ascii="Tahoma" w:eastAsia="Times New Roman" w:hAnsi="Tahoma" w:cs="Tahoma"/>
                <w:color w:val="000000"/>
                <w:sz w:val="28"/>
                <w:szCs w:val="28"/>
                <w:lang w:eastAsia="es-MX"/>
              </w:rPr>
              <w:t>MUNICIPIO DE TAMAZULA DE GORDIANO, JALISCO.</w:t>
            </w:r>
          </w:p>
        </w:tc>
        <w:tc>
          <w:tcPr>
            <w:tcW w:w="1074"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jc w:val="center"/>
              <w:rPr>
                <w:rFonts w:ascii="Tahoma" w:eastAsia="Times New Roman" w:hAnsi="Tahoma" w:cs="Tahoma"/>
                <w:color w:val="000000"/>
                <w:sz w:val="28"/>
                <w:szCs w:val="28"/>
                <w:lang w:eastAsia="es-MX"/>
              </w:rPr>
            </w:pPr>
          </w:p>
        </w:tc>
        <w:tc>
          <w:tcPr>
            <w:tcW w:w="1074"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r>
      <w:tr w:rsidR="00880FA4" w:rsidRPr="00880FA4" w:rsidTr="00880FA4">
        <w:trPr>
          <w:trHeight w:val="300"/>
        </w:trPr>
        <w:tc>
          <w:tcPr>
            <w:tcW w:w="203"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453"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2196"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jc w:val="center"/>
              <w:rPr>
                <w:rFonts w:ascii="Tahoma" w:eastAsia="Times New Roman" w:hAnsi="Tahoma" w:cs="Tahoma"/>
                <w:color w:val="000000"/>
                <w:sz w:val="24"/>
                <w:szCs w:val="24"/>
                <w:lang w:eastAsia="es-MX"/>
              </w:rPr>
            </w:pPr>
            <w:r w:rsidRPr="00880FA4">
              <w:rPr>
                <w:rFonts w:ascii="Tahoma" w:eastAsia="Times New Roman" w:hAnsi="Tahoma" w:cs="Tahoma"/>
                <w:color w:val="000000"/>
                <w:sz w:val="24"/>
                <w:szCs w:val="24"/>
                <w:lang w:eastAsia="es-MX"/>
              </w:rPr>
              <w:t>Sistema Integral de Contabilidad Gubernamental</w:t>
            </w:r>
          </w:p>
        </w:tc>
        <w:tc>
          <w:tcPr>
            <w:tcW w:w="1074"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jc w:val="center"/>
              <w:rPr>
                <w:rFonts w:ascii="Tahoma" w:eastAsia="Times New Roman" w:hAnsi="Tahoma" w:cs="Tahoma"/>
                <w:color w:val="000000"/>
                <w:sz w:val="24"/>
                <w:szCs w:val="24"/>
                <w:lang w:eastAsia="es-MX"/>
              </w:rPr>
            </w:pPr>
          </w:p>
        </w:tc>
        <w:tc>
          <w:tcPr>
            <w:tcW w:w="1074"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r>
      <w:tr w:rsidR="00880FA4" w:rsidRPr="00880FA4" w:rsidTr="00880FA4">
        <w:trPr>
          <w:trHeight w:val="255"/>
        </w:trPr>
        <w:tc>
          <w:tcPr>
            <w:tcW w:w="203"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453"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2196"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jc w:val="center"/>
              <w:rPr>
                <w:rFonts w:ascii="Tahoma" w:eastAsia="Times New Roman" w:hAnsi="Tahoma" w:cs="Tahoma"/>
                <w:b/>
                <w:bCs/>
                <w:color w:val="000000"/>
                <w:sz w:val="20"/>
                <w:szCs w:val="20"/>
                <w:lang w:eastAsia="es-MX"/>
              </w:rPr>
            </w:pPr>
            <w:r w:rsidRPr="00880FA4">
              <w:rPr>
                <w:rFonts w:ascii="Tahoma" w:eastAsia="Times New Roman" w:hAnsi="Tahoma" w:cs="Tahoma"/>
                <w:b/>
                <w:bCs/>
                <w:color w:val="000000"/>
                <w:sz w:val="20"/>
                <w:szCs w:val="20"/>
                <w:lang w:eastAsia="es-MX"/>
              </w:rPr>
              <w:t>ESTADO ANALITICO DE INGRESOS</w:t>
            </w:r>
          </w:p>
        </w:tc>
        <w:tc>
          <w:tcPr>
            <w:tcW w:w="1074"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jc w:val="center"/>
              <w:rPr>
                <w:rFonts w:ascii="Tahoma" w:eastAsia="Times New Roman" w:hAnsi="Tahoma" w:cs="Tahoma"/>
                <w:b/>
                <w:bCs/>
                <w:color w:val="000000"/>
                <w:sz w:val="20"/>
                <w:szCs w:val="20"/>
                <w:lang w:eastAsia="es-MX"/>
              </w:rPr>
            </w:pPr>
          </w:p>
        </w:tc>
        <w:tc>
          <w:tcPr>
            <w:tcW w:w="1074"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r>
      <w:tr w:rsidR="00880FA4" w:rsidRPr="00880FA4" w:rsidTr="00880FA4">
        <w:trPr>
          <w:trHeight w:val="255"/>
        </w:trPr>
        <w:tc>
          <w:tcPr>
            <w:tcW w:w="203"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453"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2196"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jc w:val="center"/>
              <w:rPr>
                <w:rFonts w:ascii="Tahoma" w:eastAsia="Times New Roman" w:hAnsi="Tahoma" w:cs="Tahoma"/>
                <w:b/>
                <w:bCs/>
                <w:color w:val="000000"/>
                <w:sz w:val="20"/>
                <w:szCs w:val="20"/>
                <w:lang w:eastAsia="es-MX"/>
              </w:rPr>
            </w:pPr>
            <w:r w:rsidRPr="00880FA4">
              <w:rPr>
                <w:rFonts w:ascii="Tahoma" w:eastAsia="Times New Roman" w:hAnsi="Tahoma" w:cs="Tahoma"/>
                <w:b/>
                <w:bCs/>
                <w:color w:val="000000"/>
                <w:sz w:val="20"/>
                <w:szCs w:val="20"/>
                <w:lang w:eastAsia="es-MX"/>
              </w:rPr>
              <w:t>DEL 1 DE ENERO AL 30 DE JUNIO DE 2019</w:t>
            </w:r>
          </w:p>
        </w:tc>
        <w:tc>
          <w:tcPr>
            <w:tcW w:w="1074"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jc w:val="center"/>
              <w:rPr>
                <w:rFonts w:ascii="Tahoma" w:eastAsia="Times New Roman" w:hAnsi="Tahoma" w:cs="Tahoma"/>
                <w:b/>
                <w:bCs/>
                <w:color w:val="000000"/>
                <w:sz w:val="20"/>
                <w:szCs w:val="20"/>
                <w:lang w:eastAsia="es-MX"/>
              </w:rPr>
            </w:pPr>
          </w:p>
        </w:tc>
        <w:tc>
          <w:tcPr>
            <w:tcW w:w="1074"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r>
      <w:tr w:rsidR="00880FA4" w:rsidRPr="00880FA4" w:rsidTr="00880FA4">
        <w:trPr>
          <w:trHeight w:val="255"/>
        </w:trPr>
        <w:tc>
          <w:tcPr>
            <w:tcW w:w="203"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453"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2196"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1074"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1074"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r>
      <w:tr w:rsidR="00880FA4" w:rsidRPr="00880FA4" w:rsidTr="00880FA4">
        <w:trPr>
          <w:trHeight w:val="255"/>
        </w:trPr>
        <w:tc>
          <w:tcPr>
            <w:tcW w:w="203"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2649" w:type="pct"/>
            <w:gridSpan w:val="2"/>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ahoma" w:eastAsia="Times New Roman" w:hAnsi="Tahoma" w:cs="Tahoma"/>
                <w:color w:val="000000"/>
                <w:sz w:val="14"/>
                <w:szCs w:val="14"/>
                <w:lang w:eastAsia="es-MX"/>
              </w:rPr>
            </w:pPr>
            <w:r w:rsidRPr="00880FA4">
              <w:rPr>
                <w:rFonts w:ascii="Tahoma" w:eastAsia="Times New Roman" w:hAnsi="Tahoma" w:cs="Tahoma"/>
                <w:color w:val="000000"/>
                <w:sz w:val="14"/>
                <w:szCs w:val="14"/>
                <w:lang w:eastAsia="es-MX"/>
              </w:rPr>
              <w:t>Análisis por: Clasificación por Rubro de Ingresos</w:t>
            </w:r>
          </w:p>
        </w:tc>
        <w:tc>
          <w:tcPr>
            <w:tcW w:w="1074"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ahoma" w:eastAsia="Times New Roman" w:hAnsi="Tahoma" w:cs="Tahoma"/>
                <w:color w:val="000000"/>
                <w:sz w:val="14"/>
                <w:szCs w:val="14"/>
                <w:lang w:eastAsia="es-MX"/>
              </w:rPr>
            </w:pPr>
          </w:p>
        </w:tc>
        <w:tc>
          <w:tcPr>
            <w:tcW w:w="1074"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r>
      <w:tr w:rsidR="00880FA4" w:rsidRPr="00880FA4" w:rsidTr="00880FA4">
        <w:trPr>
          <w:trHeight w:val="255"/>
        </w:trPr>
        <w:tc>
          <w:tcPr>
            <w:tcW w:w="203"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453"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2196"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1074"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1074"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r>
      <w:tr w:rsidR="00880FA4" w:rsidRPr="00880FA4" w:rsidTr="00880FA4">
        <w:trPr>
          <w:trHeight w:val="255"/>
        </w:trPr>
        <w:tc>
          <w:tcPr>
            <w:tcW w:w="203"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N</w:t>
            </w:r>
          </w:p>
        </w:tc>
        <w:tc>
          <w:tcPr>
            <w:tcW w:w="453"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Rubro</w:t>
            </w:r>
          </w:p>
        </w:tc>
        <w:tc>
          <w:tcPr>
            <w:tcW w:w="2196"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Descripción</w:t>
            </w:r>
          </w:p>
        </w:tc>
        <w:tc>
          <w:tcPr>
            <w:tcW w:w="1074"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proofErr w:type="spellStart"/>
            <w:r w:rsidRPr="00880FA4">
              <w:rPr>
                <w:rFonts w:ascii="Tahoma" w:eastAsia="Times New Roman" w:hAnsi="Tahoma" w:cs="Tahoma"/>
                <w:color w:val="000000"/>
                <w:sz w:val="20"/>
                <w:szCs w:val="20"/>
                <w:lang w:eastAsia="es-MX"/>
              </w:rPr>
              <w:t>Est</w:t>
            </w:r>
            <w:proofErr w:type="spellEnd"/>
            <w:r w:rsidRPr="00880FA4">
              <w:rPr>
                <w:rFonts w:ascii="Tahoma" w:eastAsia="Times New Roman" w:hAnsi="Tahoma" w:cs="Tahoma"/>
                <w:color w:val="000000"/>
                <w:sz w:val="20"/>
                <w:szCs w:val="20"/>
                <w:lang w:eastAsia="es-MX"/>
              </w:rPr>
              <w:t>-Anual</w:t>
            </w:r>
          </w:p>
        </w:tc>
        <w:tc>
          <w:tcPr>
            <w:tcW w:w="1074"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proofErr w:type="spellStart"/>
            <w:r w:rsidRPr="00880FA4">
              <w:rPr>
                <w:rFonts w:ascii="Tahoma" w:eastAsia="Times New Roman" w:hAnsi="Tahoma" w:cs="Tahoma"/>
                <w:color w:val="000000"/>
                <w:sz w:val="20"/>
                <w:szCs w:val="20"/>
                <w:lang w:eastAsia="es-MX"/>
              </w:rPr>
              <w:t>Rec</w:t>
            </w:r>
            <w:proofErr w:type="spellEnd"/>
            <w:r w:rsidRPr="00880FA4">
              <w:rPr>
                <w:rFonts w:ascii="Tahoma" w:eastAsia="Times New Roman" w:hAnsi="Tahoma" w:cs="Tahoma"/>
                <w:color w:val="000000"/>
                <w:sz w:val="20"/>
                <w:szCs w:val="20"/>
                <w:lang w:eastAsia="es-MX"/>
              </w:rPr>
              <w:t>-Anual</w:t>
            </w:r>
          </w:p>
        </w:tc>
      </w:tr>
      <w:tr w:rsidR="00880FA4" w:rsidRPr="00880FA4" w:rsidTr="00880FA4">
        <w:trPr>
          <w:trHeight w:val="255"/>
        </w:trPr>
        <w:tc>
          <w:tcPr>
            <w:tcW w:w="203"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w:t>
            </w:r>
          </w:p>
        </w:tc>
        <w:tc>
          <w:tcPr>
            <w:tcW w:w="453"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01</w:t>
            </w:r>
          </w:p>
        </w:tc>
        <w:tc>
          <w:tcPr>
            <w:tcW w:w="2196"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IMPUESTOS</w:t>
            </w:r>
          </w:p>
        </w:tc>
        <w:tc>
          <w:tcPr>
            <w:tcW w:w="1074"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18,710,813.77</w:t>
            </w:r>
          </w:p>
        </w:tc>
        <w:tc>
          <w:tcPr>
            <w:tcW w:w="1074"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11,724,581.90</w:t>
            </w:r>
          </w:p>
        </w:tc>
      </w:tr>
      <w:tr w:rsidR="00880FA4" w:rsidRPr="00880FA4" w:rsidTr="00880FA4">
        <w:trPr>
          <w:trHeight w:val="255"/>
        </w:trPr>
        <w:tc>
          <w:tcPr>
            <w:tcW w:w="203"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w:t>
            </w:r>
          </w:p>
        </w:tc>
        <w:tc>
          <w:tcPr>
            <w:tcW w:w="453"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04</w:t>
            </w:r>
          </w:p>
        </w:tc>
        <w:tc>
          <w:tcPr>
            <w:tcW w:w="2196"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DERECHOS</w:t>
            </w:r>
          </w:p>
        </w:tc>
        <w:tc>
          <w:tcPr>
            <w:tcW w:w="1074"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9,118,054.40</w:t>
            </w:r>
          </w:p>
        </w:tc>
        <w:tc>
          <w:tcPr>
            <w:tcW w:w="1074"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9,946,651.70</w:t>
            </w:r>
          </w:p>
        </w:tc>
      </w:tr>
      <w:tr w:rsidR="00880FA4" w:rsidRPr="00880FA4" w:rsidTr="00880FA4">
        <w:trPr>
          <w:trHeight w:val="255"/>
        </w:trPr>
        <w:tc>
          <w:tcPr>
            <w:tcW w:w="203"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w:t>
            </w:r>
          </w:p>
        </w:tc>
        <w:tc>
          <w:tcPr>
            <w:tcW w:w="453"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05</w:t>
            </w:r>
          </w:p>
        </w:tc>
        <w:tc>
          <w:tcPr>
            <w:tcW w:w="2196"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PRODUCTOS</w:t>
            </w:r>
          </w:p>
        </w:tc>
        <w:tc>
          <w:tcPr>
            <w:tcW w:w="1074"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883,740.00</w:t>
            </w:r>
          </w:p>
        </w:tc>
        <w:tc>
          <w:tcPr>
            <w:tcW w:w="1074"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3,878,140.37</w:t>
            </w:r>
          </w:p>
        </w:tc>
      </w:tr>
      <w:tr w:rsidR="00880FA4" w:rsidRPr="00880FA4" w:rsidTr="00880FA4">
        <w:trPr>
          <w:trHeight w:val="255"/>
        </w:trPr>
        <w:tc>
          <w:tcPr>
            <w:tcW w:w="203"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w:t>
            </w:r>
          </w:p>
        </w:tc>
        <w:tc>
          <w:tcPr>
            <w:tcW w:w="453"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06</w:t>
            </w:r>
          </w:p>
        </w:tc>
        <w:tc>
          <w:tcPr>
            <w:tcW w:w="2196"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APROVECHAMIENTOS</w:t>
            </w:r>
          </w:p>
        </w:tc>
        <w:tc>
          <w:tcPr>
            <w:tcW w:w="1074"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374,398.88</w:t>
            </w:r>
          </w:p>
        </w:tc>
        <w:tc>
          <w:tcPr>
            <w:tcW w:w="1074"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264,719.66</w:t>
            </w:r>
          </w:p>
        </w:tc>
      </w:tr>
      <w:tr w:rsidR="00880FA4" w:rsidRPr="00880FA4" w:rsidTr="00880FA4">
        <w:trPr>
          <w:trHeight w:val="255"/>
        </w:trPr>
        <w:tc>
          <w:tcPr>
            <w:tcW w:w="203"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w:t>
            </w:r>
          </w:p>
        </w:tc>
        <w:tc>
          <w:tcPr>
            <w:tcW w:w="453"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08</w:t>
            </w:r>
          </w:p>
        </w:tc>
        <w:tc>
          <w:tcPr>
            <w:tcW w:w="2196"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PARTICIPACIONES Y APORTACIONES.</w:t>
            </w:r>
          </w:p>
        </w:tc>
        <w:tc>
          <w:tcPr>
            <w:tcW w:w="1074"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127,497,451.95</w:t>
            </w:r>
          </w:p>
        </w:tc>
        <w:tc>
          <w:tcPr>
            <w:tcW w:w="1074"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137,965,993.23</w:t>
            </w:r>
          </w:p>
        </w:tc>
      </w:tr>
      <w:tr w:rsidR="00880FA4" w:rsidRPr="00880FA4" w:rsidTr="00880FA4">
        <w:trPr>
          <w:trHeight w:val="255"/>
        </w:trPr>
        <w:tc>
          <w:tcPr>
            <w:tcW w:w="203"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p>
        </w:tc>
        <w:tc>
          <w:tcPr>
            <w:tcW w:w="453"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imes New Roman" w:eastAsia="Times New Roman" w:hAnsi="Times New Roman" w:cs="Times New Roman"/>
                <w:sz w:val="20"/>
                <w:szCs w:val="20"/>
                <w:lang w:eastAsia="es-MX"/>
              </w:rPr>
            </w:pPr>
          </w:p>
        </w:tc>
        <w:tc>
          <w:tcPr>
            <w:tcW w:w="2196"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ahoma" w:eastAsia="Times New Roman" w:hAnsi="Tahoma" w:cs="Tahoma"/>
                <w:b/>
                <w:bCs/>
                <w:color w:val="000000"/>
                <w:sz w:val="20"/>
                <w:szCs w:val="20"/>
                <w:lang w:eastAsia="es-MX"/>
              </w:rPr>
            </w:pPr>
            <w:r w:rsidRPr="00880FA4">
              <w:rPr>
                <w:rFonts w:ascii="Tahoma" w:eastAsia="Times New Roman" w:hAnsi="Tahoma" w:cs="Tahoma"/>
                <w:b/>
                <w:bCs/>
                <w:color w:val="000000"/>
                <w:sz w:val="20"/>
                <w:szCs w:val="20"/>
                <w:lang w:eastAsia="es-MX"/>
              </w:rPr>
              <w:t>TOTAL</w:t>
            </w:r>
          </w:p>
        </w:tc>
        <w:tc>
          <w:tcPr>
            <w:tcW w:w="1074"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b/>
                <w:bCs/>
                <w:color w:val="000000"/>
                <w:sz w:val="20"/>
                <w:szCs w:val="20"/>
                <w:lang w:eastAsia="es-MX"/>
              </w:rPr>
            </w:pPr>
            <w:r w:rsidRPr="00880FA4">
              <w:rPr>
                <w:rFonts w:ascii="Tahoma" w:eastAsia="Times New Roman" w:hAnsi="Tahoma" w:cs="Tahoma"/>
                <w:b/>
                <w:bCs/>
                <w:color w:val="000000"/>
                <w:sz w:val="20"/>
                <w:szCs w:val="20"/>
                <w:lang w:eastAsia="es-MX"/>
              </w:rPr>
              <w:t>156,584,459.00</w:t>
            </w:r>
          </w:p>
        </w:tc>
        <w:tc>
          <w:tcPr>
            <w:tcW w:w="1074"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b/>
                <w:bCs/>
                <w:color w:val="000000"/>
                <w:sz w:val="20"/>
                <w:szCs w:val="20"/>
                <w:lang w:eastAsia="es-MX"/>
              </w:rPr>
            </w:pPr>
            <w:r w:rsidRPr="00880FA4">
              <w:rPr>
                <w:rFonts w:ascii="Tahoma" w:eastAsia="Times New Roman" w:hAnsi="Tahoma" w:cs="Tahoma"/>
                <w:b/>
                <w:bCs/>
                <w:color w:val="000000"/>
                <w:sz w:val="20"/>
                <w:szCs w:val="20"/>
                <w:lang w:eastAsia="es-MX"/>
              </w:rPr>
              <w:t>163,780,086.86</w:t>
            </w:r>
          </w:p>
        </w:tc>
      </w:tr>
    </w:tbl>
    <w:p w:rsidR="00880FA4" w:rsidRPr="00AD12B7" w:rsidRDefault="00880FA4" w:rsidP="00880FA4">
      <w:pPr>
        <w:pStyle w:val="Default"/>
        <w:ind w:left="720"/>
        <w:jc w:val="both"/>
        <w:rPr>
          <w:sz w:val="22"/>
          <w:szCs w:val="22"/>
        </w:rPr>
      </w:pPr>
    </w:p>
    <w:p w:rsidR="00880FA4" w:rsidRDefault="00880FA4" w:rsidP="00880FA4">
      <w:pPr>
        <w:pStyle w:val="Prrafodelista"/>
        <w:numPr>
          <w:ilvl w:val="0"/>
          <w:numId w:val="18"/>
        </w:numPr>
        <w:jc w:val="both"/>
        <w:rPr>
          <w:rFonts w:ascii="Arial" w:hAnsi="Arial" w:cs="Arial"/>
        </w:rPr>
      </w:pPr>
      <w:r w:rsidRPr="00AD12B7">
        <w:rPr>
          <w:rFonts w:ascii="Arial" w:hAnsi="Arial" w:cs="Arial"/>
        </w:rPr>
        <w:t>Proyección de la recaudación e ingresos en el mediano plazo.</w:t>
      </w:r>
    </w:p>
    <w:tbl>
      <w:tblPr>
        <w:tblW w:w="5000" w:type="pct"/>
        <w:tblCellMar>
          <w:left w:w="70" w:type="dxa"/>
          <w:right w:w="70" w:type="dxa"/>
        </w:tblCellMar>
        <w:tblLook w:val="04A0" w:firstRow="1" w:lastRow="0" w:firstColumn="1" w:lastColumn="0" w:noHBand="0" w:noVBand="1"/>
      </w:tblPr>
      <w:tblGrid>
        <w:gridCol w:w="263"/>
        <w:gridCol w:w="975"/>
        <w:gridCol w:w="6078"/>
        <w:gridCol w:w="1582"/>
        <w:gridCol w:w="944"/>
        <w:gridCol w:w="1582"/>
        <w:gridCol w:w="1582"/>
      </w:tblGrid>
      <w:tr w:rsidR="00880FA4" w:rsidRPr="00880FA4" w:rsidTr="00880FA4">
        <w:trPr>
          <w:trHeight w:val="360"/>
        </w:trPr>
        <w:tc>
          <w:tcPr>
            <w:tcW w:w="145"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4"/>
                <w:szCs w:val="24"/>
                <w:lang w:eastAsia="es-MX"/>
              </w:rPr>
            </w:pPr>
          </w:p>
        </w:tc>
        <w:tc>
          <w:tcPr>
            <w:tcW w:w="32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Arial" w:eastAsia="Times New Roman" w:hAnsi="Arial" w:cs="Arial"/>
                <w:color w:val="000000"/>
                <w:sz w:val="20"/>
                <w:szCs w:val="20"/>
                <w:lang w:eastAsia="es-MX"/>
              </w:rPr>
            </w:pPr>
            <w:r w:rsidRPr="00880FA4">
              <w:rPr>
                <w:rFonts w:ascii="Arial" w:eastAsia="Times New Roman" w:hAnsi="Arial" w:cs="Arial"/>
                <w:noProof/>
                <w:color w:val="000000"/>
                <w:sz w:val="20"/>
                <w:szCs w:val="20"/>
                <w:lang w:eastAsia="es-MX"/>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666750" cy="800100"/>
                  <wp:effectExtent l="0" t="0" r="0" b="0"/>
                  <wp:wrapNone/>
                  <wp:docPr id="5" name="Imagen 5">
                    <a:extLst xmlns:a="http://schemas.openxmlformats.org/drawingml/2006/main">
                      <a:ext uri="{FF2B5EF4-FFF2-40B4-BE49-F238E27FC236}">
                        <a16:creationId xmlns:a16="http://schemas.microsoft.com/office/drawing/2014/main" id="{D920BD50-1C80-41B7-868A-CD2A55C776C1}"/>
                      </a:ext>
                    </a:extLst>
                  </wp:docPr>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D920BD50-1C80-41B7-868A-CD2A55C776C1}"/>
                              </a:ext>
                            </a:extLst>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6750" cy="800100"/>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835"/>
            </w:tblGrid>
            <w:tr w:rsidR="00880FA4" w:rsidRPr="00880FA4">
              <w:trPr>
                <w:trHeight w:val="360"/>
                <w:tblCellSpacing w:w="0" w:type="dxa"/>
              </w:trPr>
              <w:tc>
                <w:tcPr>
                  <w:tcW w:w="920" w:type="dxa"/>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Arial" w:eastAsia="Times New Roman" w:hAnsi="Arial" w:cs="Arial"/>
                      <w:color w:val="000000"/>
                      <w:sz w:val="20"/>
                      <w:szCs w:val="20"/>
                      <w:lang w:eastAsia="es-MX"/>
                    </w:rPr>
                  </w:pPr>
                </w:p>
              </w:tc>
            </w:tr>
          </w:tbl>
          <w:p w:rsidR="00880FA4" w:rsidRPr="00880FA4" w:rsidRDefault="00880FA4" w:rsidP="00880FA4">
            <w:pPr>
              <w:spacing w:after="0" w:line="240" w:lineRule="auto"/>
              <w:rPr>
                <w:rFonts w:ascii="Arial" w:eastAsia="Times New Roman" w:hAnsi="Arial" w:cs="Arial"/>
                <w:color w:val="000000"/>
                <w:sz w:val="20"/>
                <w:szCs w:val="20"/>
                <w:lang w:eastAsia="es-MX"/>
              </w:rPr>
            </w:pPr>
          </w:p>
        </w:tc>
        <w:tc>
          <w:tcPr>
            <w:tcW w:w="1590"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jc w:val="center"/>
              <w:rPr>
                <w:rFonts w:ascii="Tahoma" w:eastAsia="Times New Roman" w:hAnsi="Tahoma" w:cs="Tahoma"/>
                <w:color w:val="000000"/>
                <w:sz w:val="28"/>
                <w:szCs w:val="28"/>
                <w:lang w:eastAsia="es-MX"/>
              </w:rPr>
            </w:pPr>
            <w:r w:rsidRPr="00880FA4">
              <w:rPr>
                <w:rFonts w:ascii="Tahoma" w:eastAsia="Times New Roman" w:hAnsi="Tahoma" w:cs="Tahoma"/>
                <w:color w:val="000000"/>
                <w:sz w:val="28"/>
                <w:szCs w:val="28"/>
                <w:lang w:eastAsia="es-MX"/>
              </w:rPr>
              <w:t>MUNICIPIO DE TAMAZULA DE GORDIANO, JALISCO.</w:t>
            </w: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jc w:val="center"/>
              <w:rPr>
                <w:rFonts w:ascii="Tahoma" w:eastAsia="Times New Roman" w:hAnsi="Tahoma" w:cs="Tahoma"/>
                <w:color w:val="000000"/>
                <w:sz w:val="28"/>
                <w:szCs w:val="28"/>
                <w:lang w:eastAsia="es-MX"/>
              </w:rPr>
            </w:pPr>
          </w:p>
        </w:tc>
        <w:tc>
          <w:tcPr>
            <w:tcW w:w="605"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r>
      <w:tr w:rsidR="00880FA4" w:rsidRPr="00880FA4" w:rsidTr="00880FA4">
        <w:trPr>
          <w:trHeight w:val="300"/>
        </w:trPr>
        <w:tc>
          <w:tcPr>
            <w:tcW w:w="145"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32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1590"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jc w:val="center"/>
              <w:rPr>
                <w:rFonts w:ascii="Tahoma" w:eastAsia="Times New Roman" w:hAnsi="Tahoma" w:cs="Tahoma"/>
                <w:color w:val="000000"/>
                <w:sz w:val="24"/>
                <w:szCs w:val="24"/>
                <w:lang w:eastAsia="es-MX"/>
              </w:rPr>
            </w:pPr>
            <w:r w:rsidRPr="00880FA4">
              <w:rPr>
                <w:rFonts w:ascii="Tahoma" w:eastAsia="Times New Roman" w:hAnsi="Tahoma" w:cs="Tahoma"/>
                <w:color w:val="000000"/>
                <w:sz w:val="24"/>
                <w:szCs w:val="24"/>
                <w:lang w:eastAsia="es-MX"/>
              </w:rPr>
              <w:t>Sistema Integral de Contabilidad Gubernamental</w:t>
            </w: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jc w:val="center"/>
              <w:rPr>
                <w:rFonts w:ascii="Tahoma" w:eastAsia="Times New Roman" w:hAnsi="Tahoma" w:cs="Tahoma"/>
                <w:color w:val="000000"/>
                <w:sz w:val="24"/>
                <w:szCs w:val="24"/>
                <w:lang w:eastAsia="es-MX"/>
              </w:rPr>
            </w:pPr>
          </w:p>
        </w:tc>
        <w:tc>
          <w:tcPr>
            <w:tcW w:w="605"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r>
      <w:tr w:rsidR="00880FA4" w:rsidRPr="00880FA4" w:rsidTr="00880FA4">
        <w:trPr>
          <w:trHeight w:val="255"/>
        </w:trPr>
        <w:tc>
          <w:tcPr>
            <w:tcW w:w="145"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32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1590"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jc w:val="center"/>
              <w:rPr>
                <w:rFonts w:ascii="Tahoma" w:eastAsia="Times New Roman" w:hAnsi="Tahoma" w:cs="Tahoma"/>
                <w:b/>
                <w:bCs/>
                <w:color w:val="000000"/>
                <w:sz w:val="20"/>
                <w:szCs w:val="20"/>
                <w:lang w:eastAsia="es-MX"/>
              </w:rPr>
            </w:pPr>
            <w:r w:rsidRPr="00880FA4">
              <w:rPr>
                <w:rFonts w:ascii="Tahoma" w:eastAsia="Times New Roman" w:hAnsi="Tahoma" w:cs="Tahoma"/>
                <w:b/>
                <w:bCs/>
                <w:color w:val="000000"/>
                <w:sz w:val="20"/>
                <w:szCs w:val="20"/>
                <w:lang w:eastAsia="es-MX"/>
              </w:rPr>
              <w:t>ESTADO ANALITICO DE INGRESOS</w:t>
            </w: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jc w:val="center"/>
              <w:rPr>
                <w:rFonts w:ascii="Tahoma" w:eastAsia="Times New Roman" w:hAnsi="Tahoma" w:cs="Tahoma"/>
                <w:b/>
                <w:bCs/>
                <w:color w:val="000000"/>
                <w:sz w:val="20"/>
                <w:szCs w:val="20"/>
                <w:lang w:eastAsia="es-MX"/>
              </w:rPr>
            </w:pPr>
          </w:p>
        </w:tc>
        <w:tc>
          <w:tcPr>
            <w:tcW w:w="605"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r>
      <w:tr w:rsidR="00880FA4" w:rsidRPr="00880FA4" w:rsidTr="00880FA4">
        <w:trPr>
          <w:trHeight w:val="255"/>
        </w:trPr>
        <w:tc>
          <w:tcPr>
            <w:tcW w:w="145"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32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1590"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jc w:val="center"/>
              <w:rPr>
                <w:rFonts w:ascii="Tahoma" w:eastAsia="Times New Roman" w:hAnsi="Tahoma" w:cs="Tahoma"/>
                <w:b/>
                <w:bCs/>
                <w:color w:val="000000"/>
                <w:sz w:val="20"/>
                <w:szCs w:val="20"/>
                <w:lang w:eastAsia="es-MX"/>
              </w:rPr>
            </w:pPr>
            <w:r w:rsidRPr="00880FA4">
              <w:rPr>
                <w:rFonts w:ascii="Tahoma" w:eastAsia="Times New Roman" w:hAnsi="Tahoma" w:cs="Tahoma"/>
                <w:b/>
                <w:bCs/>
                <w:color w:val="000000"/>
                <w:sz w:val="20"/>
                <w:szCs w:val="20"/>
                <w:lang w:eastAsia="es-MX"/>
              </w:rPr>
              <w:t>DEL 1 DE ENERO AL 30 DE JUNIO DE 2019</w:t>
            </w: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jc w:val="center"/>
              <w:rPr>
                <w:rFonts w:ascii="Tahoma" w:eastAsia="Times New Roman" w:hAnsi="Tahoma" w:cs="Tahoma"/>
                <w:b/>
                <w:bCs/>
                <w:color w:val="000000"/>
                <w:sz w:val="20"/>
                <w:szCs w:val="20"/>
                <w:lang w:eastAsia="es-MX"/>
              </w:rPr>
            </w:pPr>
          </w:p>
        </w:tc>
        <w:tc>
          <w:tcPr>
            <w:tcW w:w="605"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r>
      <w:tr w:rsidR="00880FA4" w:rsidRPr="00880FA4" w:rsidTr="00880FA4">
        <w:trPr>
          <w:trHeight w:val="255"/>
        </w:trPr>
        <w:tc>
          <w:tcPr>
            <w:tcW w:w="145"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32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1590"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605"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r>
      <w:tr w:rsidR="00880FA4" w:rsidRPr="00880FA4" w:rsidTr="00880FA4">
        <w:trPr>
          <w:trHeight w:val="255"/>
        </w:trPr>
        <w:tc>
          <w:tcPr>
            <w:tcW w:w="145"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1918" w:type="pct"/>
            <w:gridSpan w:val="2"/>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ahoma" w:eastAsia="Times New Roman" w:hAnsi="Tahoma" w:cs="Tahoma"/>
                <w:color w:val="000000"/>
                <w:sz w:val="14"/>
                <w:szCs w:val="14"/>
                <w:lang w:eastAsia="es-MX"/>
              </w:rPr>
            </w:pPr>
            <w:r w:rsidRPr="00880FA4">
              <w:rPr>
                <w:rFonts w:ascii="Tahoma" w:eastAsia="Times New Roman" w:hAnsi="Tahoma" w:cs="Tahoma"/>
                <w:color w:val="000000"/>
                <w:sz w:val="14"/>
                <w:szCs w:val="14"/>
                <w:lang w:eastAsia="es-MX"/>
              </w:rPr>
              <w:t>Análisis por: Clasificación por Rubro de Ingresos</w:t>
            </w: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ahoma" w:eastAsia="Times New Roman" w:hAnsi="Tahoma" w:cs="Tahoma"/>
                <w:color w:val="000000"/>
                <w:sz w:val="14"/>
                <w:szCs w:val="14"/>
                <w:lang w:eastAsia="es-MX"/>
              </w:rPr>
            </w:pPr>
          </w:p>
        </w:tc>
        <w:tc>
          <w:tcPr>
            <w:tcW w:w="605"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778" w:type="pct"/>
            <w:tcBorders>
              <w:top w:val="nil"/>
              <w:left w:val="nil"/>
              <w:bottom w:val="nil"/>
              <w:right w:val="nil"/>
            </w:tcBorders>
            <w:shd w:val="clear" w:color="auto" w:fill="auto"/>
            <w:noWrap/>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r>
      <w:tr w:rsidR="00880FA4" w:rsidRPr="00880FA4" w:rsidTr="00880FA4">
        <w:trPr>
          <w:trHeight w:val="255"/>
        </w:trPr>
        <w:tc>
          <w:tcPr>
            <w:tcW w:w="145"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32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1590"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605"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imes New Roman" w:eastAsia="Times New Roman" w:hAnsi="Times New Roman" w:cs="Times New Roman"/>
                <w:sz w:val="20"/>
                <w:szCs w:val="20"/>
                <w:lang w:eastAsia="es-MX"/>
              </w:rPr>
            </w:pPr>
          </w:p>
        </w:tc>
      </w:tr>
      <w:tr w:rsidR="00880FA4" w:rsidRPr="00880FA4" w:rsidTr="00880FA4">
        <w:trPr>
          <w:trHeight w:val="255"/>
        </w:trPr>
        <w:tc>
          <w:tcPr>
            <w:tcW w:w="145"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N</w:t>
            </w:r>
          </w:p>
        </w:tc>
        <w:tc>
          <w:tcPr>
            <w:tcW w:w="32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Rubro</w:t>
            </w:r>
          </w:p>
        </w:tc>
        <w:tc>
          <w:tcPr>
            <w:tcW w:w="1590"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Descripción</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proofErr w:type="spellStart"/>
            <w:r w:rsidRPr="00880FA4">
              <w:rPr>
                <w:rFonts w:ascii="Tahoma" w:eastAsia="Times New Roman" w:hAnsi="Tahoma" w:cs="Tahoma"/>
                <w:color w:val="000000"/>
                <w:sz w:val="20"/>
                <w:szCs w:val="20"/>
                <w:lang w:eastAsia="es-MX"/>
              </w:rPr>
              <w:t>Est</w:t>
            </w:r>
            <w:proofErr w:type="spellEnd"/>
            <w:r w:rsidRPr="00880FA4">
              <w:rPr>
                <w:rFonts w:ascii="Tahoma" w:eastAsia="Times New Roman" w:hAnsi="Tahoma" w:cs="Tahoma"/>
                <w:color w:val="000000"/>
                <w:sz w:val="20"/>
                <w:szCs w:val="20"/>
                <w:lang w:eastAsia="es-MX"/>
              </w:rPr>
              <w:t>-Anual</w:t>
            </w:r>
          </w:p>
        </w:tc>
        <w:tc>
          <w:tcPr>
            <w:tcW w:w="605"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proofErr w:type="spellStart"/>
            <w:r w:rsidRPr="00880FA4">
              <w:rPr>
                <w:rFonts w:ascii="Tahoma" w:eastAsia="Times New Roman" w:hAnsi="Tahoma" w:cs="Tahoma"/>
                <w:color w:val="000000"/>
                <w:sz w:val="20"/>
                <w:szCs w:val="20"/>
                <w:lang w:eastAsia="es-MX"/>
              </w:rPr>
              <w:t>AyR</w:t>
            </w:r>
            <w:proofErr w:type="spellEnd"/>
            <w:r w:rsidRPr="00880FA4">
              <w:rPr>
                <w:rFonts w:ascii="Tahoma" w:eastAsia="Times New Roman" w:hAnsi="Tahoma" w:cs="Tahoma"/>
                <w:color w:val="000000"/>
                <w:sz w:val="20"/>
                <w:szCs w:val="20"/>
                <w:lang w:eastAsia="es-MX"/>
              </w:rPr>
              <w:t>-Anual</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Dev-Anual</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proofErr w:type="spellStart"/>
            <w:r w:rsidRPr="00880FA4">
              <w:rPr>
                <w:rFonts w:ascii="Tahoma" w:eastAsia="Times New Roman" w:hAnsi="Tahoma" w:cs="Tahoma"/>
                <w:color w:val="000000"/>
                <w:sz w:val="20"/>
                <w:szCs w:val="20"/>
                <w:lang w:eastAsia="es-MX"/>
              </w:rPr>
              <w:t>Rec</w:t>
            </w:r>
            <w:proofErr w:type="spellEnd"/>
            <w:r w:rsidRPr="00880FA4">
              <w:rPr>
                <w:rFonts w:ascii="Tahoma" w:eastAsia="Times New Roman" w:hAnsi="Tahoma" w:cs="Tahoma"/>
                <w:color w:val="000000"/>
                <w:sz w:val="20"/>
                <w:szCs w:val="20"/>
                <w:lang w:eastAsia="es-MX"/>
              </w:rPr>
              <w:t>-Anual</w:t>
            </w:r>
          </w:p>
        </w:tc>
      </w:tr>
      <w:tr w:rsidR="00880FA4" w:rsidRPr="00880FA4" w:rsidTr="00880FA4">
        <w:trPr>
          <w:trHeight w:val="255"/>
        </w:trPr>
        <w:tc>
          <w:tcPr>
            <w:tcW w:w="145"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w:t>
            </w:r>
          </w:p>
        </w:tc>
        <w:tc>
          <w:tcPr>
            <w:tcW w:w="32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01</w:t>
            </w:r>
          </w:p>
        </w:tc>
        <w:tc>
          <w:tcPr>
            <w:tcW w:w="1590"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IMPUESTOS</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18,710,813.77</w:t>
            </w:r>
          </w:p>
        </w:tc>
        <w:tc>
          <w:tcPr>
            <w:tcW w:w="605"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0.00</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11,724,581.90</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11,724,581.90</w:t>
            </w:r>
          </w:p>
        </w:tc>
      </w:tr>
      <w:tr w:rsidR="00880FA4" w:rsidRPr="00880FA4" w:rsidTr="00880FA4">
        <w:trPr>
          <w:trHeight w:val="255"/>
        </w:trPr>
        <w:tc>
          <w:tcPr>
            <w:tcW w:w="145"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w:t>
            </w:r>
          </w:p>
        </w:tc>
        <w:tc>
          <w:tcPr>
            <w:tcW w:w="32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04</w:t>
            </w:r>
          </w:p>
        </w:tc>
        <w:tc>
          <w:tcPr>
            <w:tcW w:w="1590"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DERECHOS</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9,118,054.40</w:t>
            </w:r>
          </w:p>
        </w:tc>
        <w:tc>
          <w:tcPr>
            <w:tcW w:w="605"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0.00</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9,946,651.70</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9,946,651.70</w:t>
            </w:r>
          </w:p>
        </w:tc>
      </w:tr>
      <w:tr w:rsidR="00880FA4" w:rsidRPr="00880FA4" w:rsidTr="00880FA4">
        <w:trPr>
          <w:trHeight w:val="255"/>
        </w:trPr>
        <w:tc>
          <w:tcPr>
            <w:tcW w:w="145"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w:t>
            </w:r>
          </w:p>
        </w:tc>
        <w:tc>
          <w:tcPr>
            <w:tcW w:w="32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05</w:t>
            </w:r>
          </w:p>
        </w:tc>
        <w:tc>
          <w:tcPr>
            <w:tcW w:w="1590"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PRODUCTOS</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883,740.00</w:t>
            </w:r>
          </w:p>
        </w:tc>
        <w:tc>
          <w:tcPr>
            <w:tcW w:w="605"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15,737.29</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3,878,140.37</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3,878,140.37</w:t>
            </w:r>
          </w:p>
        </w:tc>
      </w:tr>
      <w:tr w:rsidR="00880FA4" w:rsidRPr="00880FA4" w:rsidTr="00880FA4">
        <w:trPr>
          <w:trHeight w:val="255"/>
        </w:trPr>
        <w:tc>
          <w:tcPr>
            <w:tcW w:w="145"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w:t>
            </w:r>
          </w:p>
        </w:tc>
        <w:tc>
          <w:tcPr>
            <w:tcW w:w="32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06</w:t>
            </w:r>
          </w:p>
        </w:tc>
        <w:tc>
          <w:tcPr>
            <w:tcW w:w="1590"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APROVECHAMIENTOS</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374,398.88</w:t>
            </w:r>
          </w:p>
        </w:tc>
        <w:tc>
          <w:tcPr>
            <w:tcW w:w="605"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-16,235.10</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264,719.66</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264,719.66</w:t>
            </w:r>
          </w:p>
        </w:tc>
      </w:tr>
      <w:tr w:rsidR="00880FA4" w:rsidRPr="00880FA4" w:rsidTr="00880FA4">
        <w:trPr>
          <w:trHeight w:val="255"/>
        </w:trPr>
        <w:tc>
          <w:tcPr>
            <w:tcW w:w="145"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w:t>
            </w:r>
          </w:p>
        </w:tc>
        <w:tc>
          <w:tcPr>
            <w:tcW w:w="32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08</w:t>
            </w:r>
          </w:p>
        </w:tc>
        <w:tc>
          <w:tcPr>
            <w:tcW w:w="1590"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PARTICIPACIONES Y APORTACIONES.</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127,497,451.95</w:t>
            </w:r>
          </w:p>
        </w:tc>
        <w:tc>
          <w:tcPr>
            <w:tcW w:w="605"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497.81</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137,965,993.23</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r w:rsidRPr="00880FA4">
              <w:rPr>
                <w:rFonts w:ascii="Tahoma" w:eastAsia="Times New Roman" w:hAnsi="Tahoma" w:cs="Tahoma"/>
                <w:color w:val="000000"/>
                <w:sz w:val="20"/>
                <w:szCs w:val="20"/>
                <w:lang w:eastAsia="es-MX"/>
              </w:rPr>
              <w:t>137,965,993.23</w:t>
            </w:r>
          </w:p>
        </w:tc>
      </w:tr>
      <w:tr w:rsidR="00880FA4" w:rsidRPr="00880FA4" w:rsidTr="00880FA4">
        <w:trPr>
          <w:trHeight w:val="255"/>
        </w:trPr>
        <w:tc>
          <w:tcPr>
            <w:tcW w:w="145"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color w:val="000000"/>
                <w:sz w:val="20"/>
                <w:szCs w:val="20"/>
                <w:lang w:eastAsia="es-MX"/>
              </w:rPr>
            </w:pPr>
          </w:p>
        </w:tc>
        <w:tc>
          <w:tcPr>
            <w:tcW w:w="32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center"/>
              <w:rPr>
                <w:rFonts w:ascii="Times New Roman" w:eastAsia="Times New Roman" w:hAnsi="Times New Roman" w:cs="Times New Roman"/>
                <w:sz w:val="20"/>
                <w:szCs w:val="20"/>
                <w:lang w:eastAsia="es-MX"/>
              </w:rPr>
            </w:pPr>
          </w:p>
        </w:tc>
        <w:tc>
          <w:tcPr>
            <w:tcW w:w="1590" w:type="pct"/>
            <w:tcBorders>
              <w:top w:val="nil"/>
              <w:left w:val="nil"/>
              <w:bottom w:val="nil"/>
              <w:right w:val="nil"/>
            </w:tcBorders>
            <w:shd w:val="clear" w:color="auto" w:fill="auto"/>
            <w:vAlign w:val="bottom"/>
            <w:hideMark/>
          </w:tcPr>
          <w:p w:rsidR="00880FA4" w:rsidRPr="00880FA4" w:rsidRDefault="00880FA4" w:rsidP="00880FA4">
            <w:pPr>
              <w:spacing w:after="0" w:line="240" w:lineRule="auto"/>
              <w:rPr>
                <w:rFonts w:ascii="Tahoma" w:eastAsia="Times New Roman" w:hAnsi="Tahoma" w:cs="Tahoma"/>
                <w:b/>
                <w:bCs/>
                <w:color w:val="000000"/>
                <w:sz w:val="20"/>
                <w:szCs w:val="20"/>
                <w:lang w:eastAsia="es-MX"/>
              </w:rPr>
            </w:pPr>
            <w:r w:rsidRPr="00880FA4">
              <w:rPr>
                <w:rFonts w:ascii="Tahoma" w:eastAsia="Times New Roman" w:hAnsi="Tahoma" w:cs="Tahoma"/>
                <w:b/>
                <w:bCs/>
                <w:color w:val="000000"/>
                <w:sz w:val="20"/>
                <w:szCs w:val="20"/>
                <w:lang w:eastAsia="es-MX"/>
              </w:rPr>
              <w:t>TOTAL</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b/>
                <w:bCs/>
                <w:color w:val="000000"/>
                <w:sz w:val="20"/>
                <w:szCs w:val="20"/>
                <w:lang w:eastAsia="es-MX"/>
              </w:rPr>
            </w:pPr>
            <w:r w:rsidRPr="00880FA4">
              <w:rPr>
                <w:rFonts w:ascii="Tahoma" w:eastAsia="Times New Roman" w:hAnsi="Tahoma" w:cs="Tahoma"/>
                <w:b/>
                <w:bCs/>
                <w:color w:val="000000"/>
                <w:sz w:val="20"/>
                <w:szCs w:val="20"/>
                <w:lang w:eastAsia="es-MX"/>
              </w:rPr>
              <w:t>156,584,459.00</w:t>
            </w:r>
          </w:p>
        </w:tc>
        <w:tc>
          <w:tcPr>
            <w:tcW w:w="605"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b/>
                <w:bCs/>
                <w:color w:val="000000"/>
                <w:sz w:val="20"/>
                <w:szCs w:val="20"/>
                <w:lang w:eastAsia="es-MX"/>
              </w:rPr>
            </w:pPr>
            <w:r w:rsidRPr="00880FA4">
              <w:rPr>
                <w:rFonts w:ascii="Tahoma" w:eastAsia="Times New Roman" w:hAnsi="Tahoma" w:cs="Tahoma"/>
                <w:b/>
                <w:bCs/>
                <w:color w:val="000000"/>
                <w:sz w:val="20"/>
                <w:szCs w:val="20"/>
                <w:lang w:eastAsia="es-MX"/>
              </w:rPr>
              <w:t>0.00</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b/>
                <w:bCs/>
                <w:color w:val="000000"/>
                <w:sz w:val="20"/>
                <w:szCs w:val="20"/>
                <w:lang w:eastAsia="es-MX"/>
              </w:rPr>
            </w:pPr>
            <w:r w:rsidRPr="00880FA4">
              <w:rPr>
                <w:rFonts w:ascii="Tahoma" w:eastAsia="Times New Roman" w:hAnsi="Tahoma" w:cs="Tahoma"/>
                <w:b/>
                <w:bCs/>
                <w:color w:val="000000"/>
                <w:sz w:val="20"/>
                <w:szCs w:val="20"/>
                <w:lang w:eastAsia="es-MX"/>
              </w:rPr>
              <w:t>163,780,086.86</w:t>
            </w:r>
          </w:p>
        </w:tc>
        <w:tc>
          <w:tcPr>
            <w:tcW w:w="778" w:type="pct"/>
            <w:tcBorders>
              <w:top w:val="nil"/>
              <w:left w:val="nil"/>
              <w:bottom w:val="nil"/>
              <w:right w:val="nil"/>
            </w:tcBorders>
            <w:shd w:val="clear" w:color="auto" w:fill="auto"/>
            <w:vAlign w:val="bottom"/>
            <w:hideMark/>
          </w:tcPr>
          <w:p w:rsidR="00880FA4" w:rsidRPr="00880FA4" w:rsidRDefault="00880FA4" w:rsidP="00880FA4">
            <w:pPr>
              <w:spacing w:after="0" w:line="240" w:lineRule="auto"/>
              <w:jc w:val="right"/>
              <w:rPr>
                <w:rFonts w:ascii="Tahoma" w:eastAsia="Times New Roman" w:hAnsi="Tahoma" w:cs="Tahoma"/>
                <w:b/>
                <w:bCs/>
                <w:color w:val="000000"/>
                <w:sz w:val="20"/>
                <w:szCs w:val="20"/>
                <w:lang w:eastAsia="es-MX"/>
              </w:rPr>
            </w:pPr>
            <w:r w:rsidRPr="00880FA4">
              <w:rPr>
                <w:rFonts w:ascii="Tahoma" w:eastAsia="Times New Roman" w:hAnsi="Tahoma" w:cs="Tahoma"/>
                <w:b/>
                <w:bCs/>
                <w:color w:val="000000"/>
                <w:sz w:val="20"/>
                <w:szCs w:val="20"/>
                <w:lang w:eastAsia="es-MX"/>
              </w:rPr>
              <w:t>163,780,086.86</w:t>
            </w:r>
          </w:p>
        </w:tc>
      </w:tr>
    </w:tbl>
    <w:p w:rsidR="00880FA4" w:rsidRPr="00AD12B7" w:rsidRDefault="00880FA4" w:rsidP="00880FA4">
      <w:pPr>
        <w:pStyle w:val="Prrafodelista"/>
        <w:jc w:val="both"/>
        <w:rPr>
          <w:rFonts w:ascii="Arial" w:hAnsi="Arial" w:cs="Arial"/>
        </w:rPr>
      </w:pPr>
    </w:p>
    <w:p w:rsidR="00880FA4" w:rsidRPr="00AD12B7" w:rsidRDefault="00880FA4" w:rsidP="00880FA4">
      <w:pPr>
        <w:jc w:val="both"/>
        <w:rPr>
          <w:rFonts w:ascii="Arial" w:hAnsi="Arial" w:cs="Arial"/>
          <w:b/>
          <w:bCs/>
        </w:rPr>
      </w:pPr>
      <w:r w:rsidRPr="00AD12B7">
        <w:rPr>
          <w:rFonts w:ascii="Arial" w:hAnsi="Arial" w:cs="Arial"/>
          <w:b/>
          <w:bCs/>
        </w:rPr>
        <w:t>11. Información sobre la Deuda y el Reporte Analítico de la Deuda</w:t>
      </w:r>
    </w:p>
    <w:p w:rsidR="00880FA4" w:rsidRPr="00AD12B7" w:rsidRDefault="00880FA4" w:rsidP="00880FA4">
      <w:pPr>
        <w:pStyle w:val="Default"/>
        <w:numPr>
          <w:ilvl w:val="0"/>
          <w:numId w:val="19"/>
        </w:numPr>
        <w:jc w:val="both"/>
        <w:rPr>
          <w:sz w:val="22"/>
          <w:szCs w:val="22"/>
        </w:rPr>
      </w:pPr>
      <w:r w:rsidRPr="00AD12B7">
        <w:rPr>
          <w:sz w:val="22"/>
          <w:szCs w:val="22"/>
        </w:rPr>
        <w:t xml:space="preserve">Utilizar al menos los siguientes indicadores: deuda respecto al PIB y deuda respecto a la recaudación tomando, como mínimo, un período igual o menor a 5 años. </w:t>
      </w:r>
    </w:p>
    <w:p w:rsidR="00880FA4" w:rsidRDefault="00880FA4" w:rsidP="00880FA4">
      <w:pPr>
        <w:pStyle w:val="Default"/>
        <w:numPr>
          <w:ilvl w:val="0"/>
          <w:numId w:val="19"/>
        </w:numPr>
        <w:jc w:val="both"/>
        <w:rPr>
          <w:sz w:val="22"/>
          <w:szCs w:val="22"/>
        </w:rPr>
      </w:pPr>
      <w:r w:rsidRPr="00AD12B7">
        <w:rPr>
          <w:sz w:val="22"/>
          <w:szCs w:val="22"/>
        </w:rPr>
        <w:t>Información de manera agrupada por tipo de valor gubernamental o instrumento financiero en la que se consideren intereses, comisiones, tasa, perfil de vencimiento y otros gastos de la deuda.</w:t>
      </w:r>
    </w:p>
    <w:tbl>
      <w:tblPr>
        <w:tblW w:w="5000" w:type="pct"/>
        <w:tblCellMar>
          <w:left w:w="70" w:type="dxa"/>
          <w:right w:w="70" w:type="dxa"/>
        </w:tblCellMar>
        <w:tblLook w:val="04A0" w:firstRow="1" w:lastRow="0" w:firstColumn="1" w:lastColumn="0" w:noHBand="0" w:noVBand="1"/>
      </w:tblPr>
      <w:tblGrid>
        <w:gridCol w:w="2480"/>
        <w:gridCol w:w="1230"/>
        <w:gridCol w:w="1480"/>
        <w:gridCol w:w="1545"/>
        <w:gridCol w:w="1148"/>
        <w:gridCol w:w="5113"/>
      </w:tblGrid>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BFBFBF"/>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CONCEPTO</w:t>
            </w:r>
          </w:p>
        </w:tc>
        <w:tc>
          <w:tcPr>
            <w:tcW w:w="4051" w:type="pct"/>
            <w:gridSpan w:val="5"/>
            <w:tcBorders>
              <w:top w:val="single" w:sz="4" w:space="0" w:color="C5D9F1"/>
              <w:left w:val="nil"/>
              <w:bottom w:val="single" w:sz="4" w:space="0" w:color="C5D9F1"/>
              <w:right w:val="single" w:sz="4" w:space="0" w:color="C5D9F1"/>
            </w:tcBorders>
            <w:shd w:val="clear" w:color="000000" w:fill="BFBFBF"/>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No. 1</w:t>
            </w:r>
          </w:p>
        </w:tc>
      </w:tr>
      <w:tr w:rsidR="00880FA4" w:rsidRPr="00880FA4" w:rsidTr="00880FA4">
        <w:trPr>
          <w:trHeight w:val="315"/>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TIPO DE OBLIGACIÓN:</w:t>
            </w:r>
          </w:p>
        </w:tc>
        <w:tc>
          <w:tcPr>
            <w:tcW w:w="432" w:type="pct"/>
            <w:tcBorders>
              <w:top w:val="nil"/>
              <w:left w:val="nil"/>
              <w:bottom w:val="single" w:sz="4" w:space="0" w:color="C5D9F1"/>
              <w:right w:val="nil"/>
            </w:tcBorders>
            <w:shd w:val="clear" w:color="auto" w:fill="auto"/>
            <w:noWrap/>
            <w:vAlign w:val="bottom"/>
            <w:hideMark/>
          </w:tcPr>
          <w:p w:rsidR="00880FA4" w:rsidRPr="00880FA4" w:rsidRDefault="00880FA4" w:rsidP="00880FA4">
            <w:pPr>
              <w:spacing w:after="0" w:line="240" w:lineRule="auto"/>
              <w:jc w:val="center"/>
              <w:rPr>
                <w:rFonts w:ascii="Calibri" w:eastAsia="Times New Roman" w:hAnsi="Calibri" w:cs="Times New Roman"/>
                <w:b/>
                <w:bCs/>
                <w:lang w:eastAsia="es-MX"/>
              </w:rPr>
            </w:pPr>
            <w:r w:rsidRPr="00880FA4">
              <w:rPr>
                <w:rFonts w:ascii="Calibri" w:eastAsia="Times New Roman" w:hAnsi="Calibri" w:cs="Times New Roman"/>
                <w:b/>
                <w:bCs/>
                <w:lang w:eastAsia="es-MX"/>
              </w:rPr>
              <w:t>1</w:t>
            </w:r>
          </w:p>
        </w:tc>
        <w:tc>
          <w:tcPr>
            <w:tcW w:w="519" w:type="pct"/>
            <w:tcBorders>
              <w:top w:val="nil"/>
              <w:left w:val="nil"/>
              <w:bottom w:val="single" w:sz="4" w:space="0" w:color="C5D9F1"/>
              <w:right w:val="nil"/>
            </w:tcBorders>
            <w:shd w:val="clear" w:color="auto" w:fill="auto"/>
            <w:noWrap/>
            <w:vAlign w:val="bottom"/>
            <w:hideMark/>
          </w:tcPr>
          <w:p w:rsidR="00880FA4" w:rsidRPr="00880FA4" w:rsidRDefault="00880FA4" w:rsidP="00880FA4">
            <w:pPr>
              <w:spacing w:after="0" w:line="240" w:lineRule="auto"/>
              <w:rPr>
                <w:rFonts w:ascii="Calibri" w:eastAsia="Times New Roman" w:hAnsi="Calibri" w:cs="Times New Roman"/>
                <w:b/>
                <w:bCs/>
                <w:lang w:eastAsia="es-MX"/>
              </w:rPr>
            </w:pPr>
            <w:r w:rsidRPr="00880FA4">
              <w:rPr>
                <w:rFonts w:ascii="Calibri" w:eastAsia="Times New Roman" w:hAnsi="Calibri" w:cs="Times New Roman"/>
                <w:b/>
                <w:bCs/>
                <w:lang w:eastAsia="es-MX"/>
              </w:rPr>
              <w:t>.-</w:t>
            </w:r>
          </w:p>
        </w:tc>
        <w:tc>
          <w:tcPr>
            <w:tcW w:w="3100" w:type="pct"/>
            <w:gridSpan w:val="3"/>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rPr>
                <w:rFonts w:ascii="Calibri" w:eastAsia="Times New Roman" w:hAnsi="Calibri" w:cs="Times New Roman"/>
                <w:b/>
                <w:bCs/>
                <w:color w:val="000000"/>
                <w:sz w:val="24"/>
                <w:szCs w:val="24"/>
                <w:lang w:eastAsia="es-MX"/>
              </w:rPr>
            </w:pPr>
            <w:r w:rsidRPr="00880FA4">
              <w:rPr>
                <w:rFonts w:ascii="Calibri" w:eastAsia="Times New Roman" w:hAnsi="Calibri" w:cs="Times New Roman"/>
                <w:b/>
                <w:bCs/>
                <w:color w:val="000000"/>
                <w:sz w:val="24"/>
                <w:szCs w:val="24"/>
                <w:lang w:eastAsia="es-MX"/>
              </w:rPr>
              <w:t>Institución de Crédito</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NOMBRE DEL ACREEDOR:</w:t>
            </w:r>
          </w:p>
        </w:tc>
        <w:tc>
          <w:tcPr>
            <w:tcW w:w="4051" w:type="pct"/>
            <w:gridSpan w:val="5"/>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rPr>
                <w:rFonts w:ascii="Calibri" w:eastAsia="Times New Roman" w:hAnsi="Calibri" w:cs="Times New Roman"/>
                <w:b/>
                <w:bCs/>
                <w:color w:val="000000"/>
                <w:sz w:val="24"/>
                <w:szCs w:val="24"/>
                <w:lang w:eastAsia="es-MX"/>
              </w:rPr>
            </w:pPr>
            <w:r w:rsidRPr="00880FA4">
              <w:rPr>
                <w:rFonts w:ascii="Calibri" w:eastAsia="Times New Roman" w:hAnsi="Calibri" w:cs="Times New Roman"/>
                <w:b/>
                <w:bCs/>
                <w:color w:val="000000"/>
                <w:sz w:val="24"/>
                <w:szCs w:val="24"/>
                <w:lang w:eastAsia="es-MX"/>
              </w:rPr>
              <w:t xml:space="preserve">Banca Nacional de Obras y Servicios </w:t>
            </w:r>
            <w:proofErr w:type="spellStart"/>
            <w:r w:rsidRPr="00880FA4">
              <w:rPr>
                <w:rFonts w:ascii="Calibri" w:eastAsia="Times New Roman" w:hAnsi="Calibri" w:cs="Times New Roman"/>
                <w:b/>
                <w:bCs/>
                <w:color w:val="000000"/>
                <w:sz w:val="24"/>
                <w:szCs w:val="24"/>
                <w:lang w:eastAsia="es-MX"/>
              </w:rPr>
              <w:t>Publicos</w:t>
            </w:r>
            <w:proofErr w:type="spellEnd"/>
            <w:r w:rsidRPr="00880FA4">
              <w:rPr>
                <w:rFonts w:ascii="Calibri" w:eastAsia="Times New Roman" w:hAnsi="Calibri" w:cs="Times New Roman"/>
                <w:b/>
                <w:bCs/>
                <w:color w:val="000000"/>
                <w:sz w:val="24"/>
                <w:szCs w:val="24"/>
                <w:lang w:eastAsia="es-MX"/>
              </w:rPr>
              <w:t xml:space="preserve"> SNC</w:t>
            </w:r>
          </w:p>
        </w:tc>
      </w:tr>
      <w:tr w:rsidR="00880FA4" w:rsidRPr="00880FA4" w:rsidTr="00880FA4">
        <w:trPr>
          <w:trHeight w:val="315"/>
        </w:trPr>
        <w:tc>
          <w:tcPr>
            <w:tcW w:w="949" w:type="pct"/>
            <w:vMerge w:val="restart"/>
            <w:tcBorders>
              <w:top w:val="single" w:sz="4" w:space="0" w:color="C5D9F1"/>
              <w:left w:val="single" w:sz="4" w:space="0" w:color="C5D9F1"/>
              <w:bottom w:val="single" w:sz="4" w:space="0" w:color="C5D9F1"/>
              <w:right w:val="single" w:sz="4" w:space="0" w:color="C5D9F1"/>
            </w:tcBorders>
            <w:shd w:val="clear" w:color="000000" w:fill="EBF1DE"/>
            <w:noWrap/>
            <w:vAlign w:val="center"/>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MONTO DISPUESTO:</w:t>
            </w:r>
          </w:p>
        </w:tc>
        <w:tc>
          <w:tcPr>
            <w:tcW w:w="951" w:type="pct"/>
            <w:gridSpan w:val="2"/>
            <w:vMerge w:val="restart"/>
            <w:tcBorders>
              <w:top w:val="single" w:sz="4" w:space="0" w:color="C5D9F1"/>
              <w:left w:val="single" w:sz="4" w:space="0" w:color="C5D9F1"/>
              <w:bottom w:val="single" w:sz="4" w:space="0" w:color="C5D9F1"/>
              <w:right w:val="single" w:sz="4" w:space="0" w:color="C5D9F1"/>
            </w:tcBorders>
            <w:shd w:val="clear" w:color="auto" w:fill="auto"/>
            <w:noWrap/>
            <w:vAlign w:val="center"/>
            <w:hideMark/>
          </w:tcPr>
          <w:p w:rsidR="00880FA4" w:rsidRPr="00880FA4" w:rsidRDefault="00880FA4" w:rsidP="00880FA4">
            <w:pPr>
              <w:spacing w:after="0" w:line="240" w:lineRule="auto"/>
              <w:jc w:val="center"/>
              <w:rPr>
                <w:rFonts w:ascii="Calibri" w:eastAsia="Times New Roman" w:hAnsi="Calibri" w:cs="Times New Roman"/>
                <w:b/>
                <w:bCs/>
                <w:color w:val="000000"/>
                <w:sz w:val="28"/>
                <w:szCs w:val="28"/>
                <w:lang w:eastAsia="es-MX"/>
              </w:rPr>
            </w:pPr>
            <w:r w:rsidRPr="00880FA4">
              <w:rPr>
                <w:rFonts w:ascii="Calibri" w:eastAsia="Times New Roman" w:hAnsi="Calibri" w:cs="Times New Roman"/>
                <w:b/>
                <w:bCs/>
                <w:color w:val="000000"/>
                <w:sz w:val="28"/>
                <w:szCs w:val="28"/>
                <w:lang w:eastAsia="es-MX"/>
              </w:rPr>
              <w:t>$19,015,055.68</w:t>
            </w:r>
          </w:p>
        </w:tc>
        <w:tc>
          <w:tcPr>
            <w:tcW w:w="951" w:type="pct"/>
            <w:gridSpan w:val="2"/>
            <w:tcBorders>
              <w:top w:val="single" w:sz="4" w:space="0" w:color="C5D9F1"/>
              <w:left w:val="nil"/>
              <w:bottom w:val="single" w:sz="4" w:space="0" w:color="C5D9F1"/>
              <w:right w:val="nil"/>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FECHA DE INICIO:</w:t>
            </w:r>
          </w:p>
        </w:tc>
        <w:tc>
          <w:tcPr>
            <w:tcW w:w="2149" w:type="pct"/>
            <w:tcBorders>
              <w:top w:val="single" w:sz="4" w:space="0" w:color="C5D9F1"/>
              <w:left w:val="single" w:sz="4" w:space="0" w:color="C5D9F1"/>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4"/>
                <w:szCs w:val="24"/>
                <w:lang w:eastAsia="es-MX"/>
              </w:rPr>
            </w:pPr>
            <w:r w:rsidRPr="00880FA4">
              <w:rPr>
                <w:rFonts w:ascii="Calibri" w:eastAsia="Times New Roman" w:hAnsi="Calibri" w:cs="Times New Roman"/>
                <w:b/>
                <w:bCs/>
                <w:color w:val="000000"/>
                <w:sz w:val="24"/>
                <w:szCs w:val="24"/>
                <w:lang w:eastAsia="es-MX"/>
              </w:rPr>
              <w:t>1 de diciembre de 2013</w:t>
            </w:r>
          </w:p>
        </w:tc>
      </w:tr>
      <w:tr w:rsidR="00880FA4" w:rsidRPr="00880FA4" w:rsidTr="00880FA4">
        <w:trPr>
          <w:trHeight w:val="315"/>
        </w:trPr>
        <w:tc>
          <w:tcPr>
            <w:tcW w:w="949" w:type="pct"/>
            <w:vMerge/>
            <w:tcBorders>
              <w:top w:val="single" w:sz="4" w:space="0" w:color="C5D9F1"/>
              <w:left w:val="single" w:sz="4" w:space="0" w:color="C5D9F1"/>
              <w:bottom w:val="single" w:sz="4" w:space="0" w:color="C5D9F1"/>
              <w:right w:val="single" w:sz="4" w:space="0" w:color="C5D9F1"/>
            </w:tcBorders>
            <w:vAlign w:val="center"/>
            <w:hideMark/>
          </w:tcPr>
          <w:p w:rsidR="00880FA4" w:rsidRPr="00880FA4" w:rsidRDefault="00880FA4" w:rsidP="00880FA4">
            <w:pPr>
              <w:spacing w:after="0" w:line="240" w:lineRule="auto"/>
              <w:rPr>
                <w:rFonts w:ascii="Calibri" w:eastAsia="Times New Roman" w:hAnsi="Calibri" w:cs="Times New Roman"/>
                <w:b/>
                <w:bCs/>
                <w:color w:val="000000"/>
                <w:lang w:eastAsia="es-MX"/>
              </w:rPr>
            </w:pPr>
          </w:p>
        </w:tc>
        <w:tc>
          <w:tcPr>
            <w:tcW w:w="951" w:type="pct"/>
            <w:gridSpan w:val="2"/>
            <w:vMerge/>
            <w:tcBorders>
              <w:top w:val="single" w:sz="4" w:space="0" w:color="C5D9F1"/>
              <w:left w:val="single" w:sz="4" w:space="0" w:color="C5D9F1"/>
              <w:bottom w:val="single" w:sz="4" w:space="0" w:color="C5D9F1"/>
              <w:right w:val="single" w:sz="4" w:space="0" w:color="C5D9F1"/>
            </w:tcBorders>
            <w:vAlign w:val="center"/>
            <w:hideMark/>
          </w:tcPr>
          <w:p w:rsidR="00880FA4" w:rsidRPr="00880FA4" w:rsidRDefault="00880FA4" w:rsidP="00880FA4">
            <w:pPr>
              <w:spacing w:after="0" w:line="240" w:lineRule="auto"/>
              <w:rPr>
                <w:rFonts w:ascii="Calibri" w:eastAsia="Times New Roman" w:hAnsi="Calibri" w:cs="Times New Roman"/>
                <w:b/>
                <w:bCs/>
                <w:color w:val="000000"/>
                <w:sz w:val="28"/>
                <w:szCs w:val="28"/>
                <w:lang w:eastAsia="es-MX"/>
              </w:rPr>
            </w:pPr>
          </w:p>
        </w:tc>
        <w:tc>
          <w:tcPr>
            <w:tcW w:w="951" w:type="pct"/>
            <w:gridSpan w:val="2"/>
            <w:tcBorders>
              <w:top w:val="single" w:sz="4" w:space="0" w:color="C5D9F1"/>
              <w:left w:val="nil"/>
              <w:bottom w:val="single" w:sz="4" w:space="0" w:color="C5D9F1"/>
              <w:right w:val="nil"/>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FECHA DE VENCIMIENTO:</w:t>
            </w:r>
          </w:p>
        </w:tc>
        <w:tc>
          <w:tcPr>
            <w:tcW w:w="2149" w:type="pct"/>
            <w:tcBorders>
              <w:top w:val="single" w:sz="4" w:space="0" w:color="C5D9F1"/>
              <w:left w:val="single" w:sz="4" w:space="0" w:color="C5D9F1"/>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4"/>
                <w:szCs w:val="24"/>
                <w:lang w:eastAsia="es-MX"/>
              </w:rPr>
            </w:pPr>
            <w:r w:rsidRPr="00880FA4">
              <w:rPr>
                <w:rFonts w:ascii="Calibri" w:eastAsia="Times New Roman" w:hAnsi="Calibri" w:cs="Times New Roman"/>
                <w:b/>
                <w:bCs/>
                <w:color w:val="000000"/>
                <w:sz w:val="24"/>
                <w:szCs w:val="24"/>
                <w:lang w:eastAsia="es-MX"/>
              </w:rPr>
              <w:t>1 de marzo de 2033</w:t>
            </w:r>
          </w:p>
        </w:tc>
      </w:tr>
      <w:tr w:rsidR="00880FA4" w:rsidRPr="00880FA4" w:rsidTr="00880FA4">
        <w:trPr>
          <w:trHeight w:val="375"/>
        </w:trPr>
        <w:tc>
          <w:tcPr>
            <w:tcW w:w="1900" w:type="pct"/>
            <w:gridSpan w:val="3"/>
            <w:tcBorders>
              <w:top w:val="single" w:sz="4" w:space="0" w:color="C5D9F1"/>
              <w:left w:val="single" w:sz="4" w:space="0" w:color="C5D9F1"/>
              <w:bottom w:val="single" w:sz="4" w:space="0" w:color="C5D9F1"/>
              <w:right w:val="nil"/>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b/>
                <w:bCs/>
                <w:lang w:eastAsia="es-MX"/>
              </w:rPr>
            </w:pPr>
            <w:r w:rsidRPr="00880FA4">
              <w:rPr>
                <w:rFonts w:ascii="Calibri" w:eastAsia="Times New Roman" w:hAnsi="Calibri" w:cs="Times New Roman"/>
                <w:b/>
                <w:bCs/>
                <w:lang w:eastAsia="es-MX"/>
              </w:rPr>
              <w:t>SALDO AL 1° DE ENERO DE 2019 A CORTO PLAZO:</w:t>
            </w:r>
          </w:p>
        </w:tc>
        <w:tc>
          <w:tcPr>
            <w:tcW w:w="3100" w:type="pct"/>
            <w:gridSpan w:val="3"/>
            <w:tcBorders>
              <w:top w:val="single" w:sz="4" w:space="0" w:color="C5D9F1"/>
              <w:left w:val="single" w:sz="4" w:space="0" w:color="C5D9F1"/>
              <w:bottom w:val="single" w:sz="4" w:space="0" w:color="C5D9F1"/>
              <w:right w:val="single" w:sz="4" w:space="0" w:color="C5D9F1"/>
            </w:tcBorders>
            <w:shd w:val="clear" w:color="auto" w:fill="auto"/>
            <w:noWrap/>
            <w:vAlign w:val="center"/>
            <w:hideMark/>
          </w:tcPr>
          <w:p w:rsidR="00880FA4" w:rsidRPr="00880FA4" w:rsidRDefault="00880FA4" w:rsidP="00880FA4">
            <w:pPr>
              <w:spacing w:after="0" w:line="240" w:lineRule="auto"/>
              <w:jc w:val="center"/>
              <w:rPr>
                <w:rFonts w:ascii="Calibri" w:eastAsia="Times New Roman" w:hAnsi="Calibri" w:cs="Times New Roman"/>
                <w:b/>
                <w:bCs/>
                <w:color w:val="000000"/>
                <w:sz w:val="28"/>
                <w:szCs w:val="28"/>
                <w:lang w:eastAsia="es-MX"/>
              </w:rPr>
            </w:pPr>
            <w:r w:rsidRPr="00880FA4">
              <w:rPr>
                <w:rFonts w:ascii="Calibri" w:eastAsia="Times New Roman" w:hAnsi="Calibri" w:cs="Times New Roman"/>
                <w:b/>
                <w:bCs/>
                <w:color w:val="000000"/>
                <w:sz w:val="28"/>
                <w:szCs w:val="28"/>
                <w:lang w:eastAsia="es-MX"/>
              </w:rPr>
              <w:t>$1,000,784.28</w:t>
            </w:r>
          </w:p>
        </w:tc>
      </w:tr>
      <w:tr w:rsidR="00880FA4" w:rsidRPr="00880FA4" w:rsidTr="00880FA4">
        <w:trPr>
          <w:trHeight w:val="375"/>
        </w:trPr>
        <w:tc>
          <w:tcPr>
            <w:tcW w:w="1900" w:type="pct"/>
            <w:gridSpan w:val="3"/>
            <w:tcBorders>
              <w:top w:val="single" w:sz="4" w:space="0" w:color="C5D9F1"/>
              <w:left w:val="single" w:sz="4" w:space="0" w:color="C5D9F1"/>
              <w:bottom w:val="single" w:sz="4" w:space="0" w:color="C5D9F1"/>
              <w:right w:val="nil"/>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b/>
                <w:bCs/>
                <w:lang w:eastAsia="es-MX"/>
              </w:rPr>
            </w:pPr>
            <w:r w:rsidRPr="00880FA4">
              <w:rPr>
                <w:rFonts w:ascii="Calibri" w:eastAsia="Times New Roman" w:hAnsi="Calibri" w:cs="Times New Roman"/>
                <w:b/>
                <w:bCs/>
                <w:lang w:eastAsia="es-MX"/>
              </w:rPr>
              <w:t>SALDO AL 1° DE ENERO DE 2019 A LARGO PLAZO:</w:t>
            </w:r>
          </w:p>
        </w:tc>
        <w:tc>
          <w:tcPr>
            <w:tcW w:w="3100" w:type="pct"/>
            <w:gridSpan w:val="3"/>
            <w:tcBorders>
              <w:top w:val="single" w:sz="4" w:space="0" w:color="C5D9F1"/>
              <w:left w:val="single" w:sz="4" w:space="0" w:color="C5D9F1"/>
              <w:bottom w:val="single" w:sz="4" w:space="0" w:color="C5D9F1"/>
              <w:right w:val="single" w:sz="4" w:space="0" w:color="C5D9F1"/>
            </w:tcBorders>
            <w:shd w:val="clear" w:color="auto" w:fill="auto"/>
            <w:noWrap/>
            <w:vAlign w:val="center"/>
            <w:hideMark/>
          </w:tcPr>
          <w:p w:rsidR="00880FA4" w:rsidRPr="00880FA4" w:rsidRDefault="00880FA4" w:rsidP="00880FA4">
            <w:pPr>
              <w:spacing w:after="0" w:line="240" w:lineRule="auto"/>
              <w:jc w:val="center"/>
              <w:rPr>
                <w:rFonts w:ascii="Calibri" w:eastAsia="Times New Roman" w:hAnsi="Calibri" w:cs="Times New Roman"/>
                <w:b/>
                <w:bCs/>
                <w:color w:val="000000"/>
                <w:sz w:val="28"/>
                <w:szCs w:val="28"/>
                <w:lang w:eastAsia="es-MX"/>
              </w:rPr>
            </w:pPr>
            <w:r w:rsidRPr="00880FA4">
              <w:rPr>
                <w:rFonts w:ascii="Calibri" w:eastAsia="Times New Roman" w:hAnsi="Calibri" w:cs="Times New Roman"/>
                <w:b/>
                <w:bCs/>
                <w:color w:val="000000"/>
                <w:sz w:val="28"/>
                <w:szCs w:val="28"/>
                <w:lang w:eastAsia="es-MX"/>
              </w:rPr>
              <w:t>$13,093,595.03</w:t>
            </w:r>
          </w:p>
        </w:tc>
      </w:tr>
      <w:tr w:rsidR="00880FA4" w:rsidRPr="00880FA4" w:rsidTr="00880FA4">
        <w:trPr>
          <w:trHeight w:val="300"/>
        </w:trPr>
        <w:tc>
          <w:tcPr>
            <w:tcW w:w="5000" w:type="pct"/>
            <w:gridSpan w:val="6"/>
            <w:tcBorders>
              <w:top w:val="single" w:sz="4" w:space="0" w:color="C5D9F1"/>
              <w:left w:val="single" w:sz="4" w:space="0" w:color="C5D9F1"/>
              <w:bottom w:val="single" w:sz="4" w:space="0" w:color="C5D9F1"/>
              <w:right w:val="single" w:sz="4" w:space="0" w:color="C5D9F1"/>
            </w:tcBorders>
            <w:shd w:val="clear" w:color="000000" w:fill="BFBFBF"/>
            <w:noWrap/>
            <w:vAlign w:val="bottom"/>
            <w:hideMark/>
          </w:tcPr>
          <w:p w:rsidR="00880FA4" w:rsidRPr="00880FA4" w:rsidRDefault="00880FA4" w:rsidP="00880FA4">
            <w:pPr>
              <w:spacing w:after="0" w:line="240" w:lineRule="auto"/>
              <w:jc w:val="center"/>
              <w:rPr>
                <w:rFonts w:ascii="Calibri" w:eastAsia="Times New Roman" w:hAnsi="Calibri" w:cs="Times New Roman"/>
                <w:b/>
                <w:bCs/>
                <w:lang w:eastAsia="es-MX"/>
              </w:rPr>
            </w:pPr>
            <w:r w:rsidRPr="00880FA4">
              <w:rPr>
                <w:rFonts w:ascii="Calibri" w:eastAsia="Times New Roman" w:hAnsi="Calibri" w:cs="Times New Roman"/>
                <w:b/>
                <w:bCs/>
                <w:lang w:eastAsia="es-MX"/>
              </w:rPr>
              <w:t>OBLIGACIONES A LARGO PLAZO</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CONCEPTO</w:t>
            </w:r>
          </w:p>
        </w:tc>
        <w:tc>
          <w:tcPr>
            <w:tcW w:w="432"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DISPOSICIÓN</w:t>
            </w:r>
          </w:p>
        </w:tc>
        <w:tc>
          <w:tcPr>
            <w:tcW w:w="51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AMORTIZACIÓN</w:t>
            </w:r>
          </w:p>
        </w:tc>
        <w:tc>
          <w:tcPr>
            <w:tcW w:w="542"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REVALUACIONES</w:t>
            </w:r>
          </w:p>
        </w:tc>
        <w:tc>
          <w:tcPr>
            <w:tcW w:w="40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INTERÉS</w:t>
            </w:r>
          </w:p>
        </w:tc>
        <w:tc>
          <w:tcPr>
            <w:tcW w:w="214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COMISIONES</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Largo Plazo</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51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40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r>
      <w:tr w:rsidR="00880FA4" w:rsidRPr="00880FA4" w:rsidTr="00880FA4">
        <w:trPr>
          <w:trHeight w:val="300"/>
        </w:trPr>
        <w:tc>
          <w:tcPr>
            <w:tcW w:w="5000" w:type="pct"/>
            <w:gridSpan w:val="6"/>
            <w:tcBorders>
              <w:top w:val="single" w:sz="4" w:space="0" w:color="C5D9F1"/>
              <w:left w:val="single" w:sz="4" w:space="0" w:color="C5D9F1"/>
              <w:bottom w:val="single" w:sz="4" w:space="0" w:color="C5D9F1"/>
              <w:right w:val="single" w:sz="4" w:space="0" w:color="C5D9F1"/>
            </w:tcBorders>
            <w:shd w:val="clear" w:color="000000" w:fill="BFBFBF"/>
            <w:noWrap/>
            <w:vAlign w:val="bottom"/>
            <w:hideMark/>
          </w:tcPr>
          <w:p w:rsidR="00880FA4" w:rsidRPr="00880FA4" w:rsidRDefault="00880FA4" w:rsidP="00880FA4">
            <w:pPr>
              <w:spacing w:after="0" w:line="240" w:lineRule="auto"/>
              <w:jc w:val="center"/>
              <w:rPr>
                <w:rFonts w:ascii="Calibri" w:eastAsia="Times New Roman" w:hAnsi="Calibri" w:cs="Times New Roman"/>
                <w:b/>
                <w:bCs/>
                <w:lang w:eastAsia="es-MX"/>
              </w:rPr>
            </w:pPr>
            <w:r w:rsidRPr="00880FA4">
              <w:rPr>
                <w:rFonts w:ascii="Calibri" w:eastAsia="Times New Roman" w:hAnsi="Calibri" w:cs="Times New Roman"/>
                <w:b/>
                <w:bCs/>
                <w:lang w:eastAsia="es-MX"/>
              </w:rPr>
              <w:t>OBLIGACIONES A CORTO PLAZO</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MES</w:t>
            </w:r>
          </w:p>
        </w:tc>
        <w:tc>
          <w:tcPr>
            <w:tcW w:w="432"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DISPOSICIÓN</w:t>
            </w:r>
          </w:p>
        </w:tc>
        <w:tc>
          <w:tcPr>
            <w:tcW w:w="51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AMORTIZACIÓN</w:t>
            </w:r>
          </w:p>
        </w:tc>
        <w:tc>
          <w:tcPr>
            <w:tcW w:w="542"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REVALUACIONES</w:t>
            </w:r>
          </w:p>
        </w:tc>
        <w:tc>
          <w:tcPr>
            <w:tcW w:w="40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INTERÉS</w:t>
            </w:r>
          </w:p>
        </w:tc>
        <w:tc>
          <w:tcPr>
            <w:tcW w:w="214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COMISIONES</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ENERO</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51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83,398.69</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40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137,155.93</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FEBRERO</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51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83,398.69</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40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141,397.10</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MARZO</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51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83,398.69</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40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126,306.61</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ABRIL</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51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83,398.69</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40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138,659.95</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MAYO</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51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83,398.69</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40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142,103.04</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JUNIO</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51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83,398.69</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40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128,063.49</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JULIO</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1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40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AGOSTO</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1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40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SEPTIEMBRE</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1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40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OCTUBRE</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1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40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NOVIEMBRE</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1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40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DICIEMBRE</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1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40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right"/>
              <w:rPr>
                <w:rFonts w:ascii="Calibri" w:eastAsia="Times New Roman" w:hAnsi="Calibri" w:cs="Times New Roman"/>
                <w:b/>
                <w:bCs/>
                <w:i/>
                <w:iCs/>
                <w:color w:val="000000"/>
                <w:lang w:eastAsia="es-MX"/>
              </w:rPr>
            </w:pPr>
            <w:r w:rsidRPr="00880FA4">
              <w:rPr>
                <w:rFonts w:ascii="Calibri" w:eastAsia="Times New Roman" w:hAnsi="Calibri" w:cs="Times New Roman"/>
                <w:b/>
                <w:bCs/>
                <w:i/>
                <w:iCs/>
                <w:color w:val="000000"/>
                <w:lang w:eastAsia="es-MX"/>
              </w:rPr>
              <w:t>SUMA</w:t>
            </w:r>
          </w:p>
        </w:tc>
        <w:tc>
          <w:tcPr>
            <w:tcW w:w="432"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0.00</w:t>
            </w:r>
          </w:p>
        </w:tc>
        <w:tc>
          <w:tcPr>
            <w:tcW w:w="51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500,392.14</w:t>
            </w:r>
          </w:p>
        </w:tc>
        <w:tc>
          <w:tcPr>
            <w:tcW w:w="542"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0.00</w:t>
            </w:r>
          </w:p>
        </w:tc>
        <w:tc>
          <w:tcPr>
            <w:tcW w:w="40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813,686.12</w:t>
            </w:r>
          </w:p>
        </w:tc>
        <w:tc>
          <w:tcPr>
            <w:tcW w:w="214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0.00</w:t>
            </w:r>
          </w:p>
        </w:tc>
      </w:tr>
    </w:tbl>
    <w:p w:rsidR="00880FA4" w:rsidRPr="00AD12B7" w:rsidRDefault="00880FA4" w:rsidP="00880FA4">
      <w:pPr>
        <w:pStyle w:val="Default"/>
        <w:ind w:left="720"/>
        <w:jc w:val="both"/>
        <w:rPr>
          <w:sz w:val="22"/>
          <w:szCs w:val="22"/>
        </w:rPr>
      </w:pPr>
    </w:p>
    <w:p w:rsidR="00880FA4" w:rsidRDefault="00880FA4" w:rsidP="00880FA4">
      <w:pPr>
        <w:pStyle w:val="Default"/>
        <w:jc w:val="both"/>
        <w:rPr>
          <w:b/>
          <w:bCs/>
          <w:sz w:val="22"/>
          <w:szCs w:val="22"/>
        </w:rPr>
      </w:pPr>
    </w:p>
    <w:tbl>
      <w:tblPr>
        <w:tblW w:w="5000" w:type="pct"/>
        <w:tblCellMar>
          <w:left w:w="70" w:type="dxa"/>
          <w:right w:w="70" w:type="dxa"/>
        </w:tblCellMar>
        <w:tblLook w:val="04A0" w:firstRow="1" w:lastRow="0" w:firstColumn="1" w:lastColumn="0" w:noHBand="0" w:noVBand="1"/>
      </w:tblPr>
      <w:tblGrid>
        <w:gridCol w:w="2480"/>
        <w:gridCol w:w="1230"/>
        <w:gridCol w:w="1480"/>
        <w:gridCol w:w="1545"/>
        <w:gridCol w:w="1148"/>
        <w:gridCol w:w="5113"/>
      </w:tblGrid>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BFBFBF"/>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CONCEPTO</w:t>
            </w:r>
          </w:p>
        </w:tc>
        <w:tc>
          <w:tcPr>
            <w:tcW w:w="4051" w:type="pct"/>
            <w:gridSpan w:val="5"/>
            <w:tcBorders>
              <w:top w:val="single" w:sz="4" w:space="0" w:color="C5D9F1"/>
              <w:left w:val="nil"/>
              <w:bottom w:val="single" w:sz="4" w:space="0" w:color="C5D9F1"/>
              <w:right w:val="single" w:sz="4" w:space="0" w:color="C5D9F1"/>
            </w:tcBorders>
            <w:shd w:val="clear" w:color="000000" w:fill="BFBFBF"/>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No. 2</w:t>
            </w:r>
          </w:p>
        </w:tc>
      </w:tr>
      <w:tr w:rsidR="00880FA4" w:rsidRPr="00880FA4" w:rsidTr="00880FA4">
        <w:trPr>
          <w:trHeight w:val="315"/>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TIPO DE OBLIGACIÓN:</w:t>
            </w:r>
          </w:p>
        </w:tc>
        <w:tc>
          <w:tcPr>
            <w:tcW w:w="432" w:type="pct"/>
            <w:tcBorders>
              <w:top w:val="nil"/>
              <w:left w:val="nil"/>
              <w:bottom w:val="single" w:sz="4" w:space="0" w:color="C5D9F1"/>
              <w:right w:val="nil"/>
            </w:tcBorders>
            <w:shd w:val="clear" w:color="auto" w:fill="auto"/>
            <w:noWrap/>
            <w:vAlign w:val="bottom"/>
            <w:hideMark/>
          </w:tcPr>
          <w:p w:rsidR="00880FA4" w:rsidRPr="00880FA4" w:rsidRDefault="00880FA4" w:rsidP="00880FA4">
            <w:pPr>
              <w:spacing w:after="0" w:line="240" w:lineRule="auto"/>
              <w:jc w:val="center"/>
              <w:rPr>
                <w:rFonts w:ascii="Calibri" w:eastAsia="Times New Roman" w:hAnsi="Calibri" w:cs="Times New Roman"/>
                <w:b/>
                <w:bCs/>
                <w:lang w:eastAsia="es-MX"/>
              </w:rPr>
            </w:pPr>
            <w:r w:rsidRPr="00880FA4">
              <w:rPr>
                <w:rFonts w:ascii="Calibri" w:eastAsia="Times New Roman" w:hAnsi="Calibri" w:cs="Times New Roman"/>
                <w:b/>
                <w:bCs/>
                <w:lang w:eastAsia="es-MX"/>
              </w:rPr>
              <w:t>1</w:t>
            </w:r>
          </w:p>
        </w:tc>
        <w:tc>
          <w:tcPr>
            <w:tcW w:w="519" w:type="pct"/>
            <w:tcBorders>
              <w:top w:val="nil"/>
              <w:left w:val="nil"/>
              <w:bottom w:val="single" w:sz="4" w:space="0" w:color="C5D9F1"/>
              <w:right w:val="nil"/>
            </w:tcBorders>
            <w:shd w:val="clear" w:color="auto" w:fill="auto"/>
            <w:noWrap/>
            <w:vAlign w:val="bottom"/>
            <w:hideMark/>
          </w:tcPr>
          <w:p w:rsidR="00880FA4" w:rsidRPr="00880FA4" w:rsidRDefault="00880FA4" w:rsidP="00880FA4">
            <w:pPr>
              <w:spacing w:after="0" w:line="240" w:lineRule="auto"/>
              <w:rPr>
                <w:rFonts w:ascii="Calibri" w:eastAsia="Times New Roman" w:hAnsi="Calibri" w:cs="Times New Roman"/>
                <w:b/>
                <w:bCs/>
                <w:lang w:eastAsia="es-MX"/>
              </w:rPr>
            </w:pPr>
            <w:r w:rsidRPr="00880FA4">
              <w:rPr>
                <w:rFonts w:ascii="Calibri" w:eastAsia="Times New Roman" w:hAnsi="Calibri" w:cs="Times New Roman"/>
                <w:b/>
                <w:bCs/>
                <w:lang w:eastAsia="es-MX"/>
              </w:rPr>
              <w:t>.-</w:t>
            </w:r>
          </w:p>
        </w:tc>
        <w:tc>
          <w:tcPr>
            <w:tcW w:w="3100" w:type="pct"/>
            <w:gridSpan w:val="3"/>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rPr>
                <w:rFonts w:ascii="Calibri" w:eastAsia="Times New Roman" w:hAnsi="Calibri" w:cs="Times New Roman"/>
                <w:b/>
                <w:bCs/>
                <w:color w:val="000000"/>
                <w:sz w:val="24"/>
                <w:szCs w:val="24"/>
                <w:lang w:eastAsia="es-MX"/>
              </w:rPr>
            </w:pPr>
            <w:r w:rsidRPr="00880FA4">
              <w:rPr>
                <w:rFonts w:ascii="Calibri" w:eastAsia="Times New Roman" w:hAnsi="Calibri" w:cs="Times New Roman"/>
                <w:b/>
                <w:bCs/>
                <w:color w:val="000000"/>
                <w:sz w:val="24"/>
                <w:szCs w:val="24"/>
                <w:lang w:eastAsia="es-MX"/>
              </w:rPr>
              <w:t>Institución de Crédito</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NOMBRE DEL ACREEDOR:</w:t>
            </w:r>
          </w:p>
        </w:tc>
        <w:tc>
          <w:tcPr>
            <w:tcW w:w="4051" w:type="pct"/>
            <w:gridSpan w:val="5"/>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rPr>
                <w:rFonts w:ascii="Calibri" w:eastAsia="Times New Roman" w:hAnsi="Calibri" w:cs="Times New Roman"/>
                <w:b/>
                <w:bCs/>
                <w:color w:val="000000"/>
                <w:sz w:val="24"/>
                <w:szCs w:val="24"/>
                <w:lang w:eastAsia="es-MX"/>
              </w:rPr>
            </w:pPr>
            <w:r w:rsidRPr="00880FA4">
              <w:rPr>
                <w:rFonts w:ascii="Calibri" w:eastAsia="Times New Roman" w:hAnsi="Calibri" w:cs="Times New Roman"/>
                <w:b/>
                <w:bCs/>
                <w:color w:val="000000"/>
                <w:sz w:val="24"/>
                <w:szCs w:val="24"/>
                <w:lang w:eastAsia="es-MX"/>
              </w:rPr>
              <w:t xml:space="preserve">Banca Nacional de Obras y Servicios </w:t>
            </w:r>
            <w:proofErr w:type="spellStart"/>
            <w:r w:rsidRPr="00880FA4">
              <w:rPr>
                <w:rFonts w:ascii="Calibri" w:eastAsia="Times New Roman" w:hAnsi="Calibri" w:cs="Times New Roman"/>
                <w:b/>
                <w:bCs/>
                <w:color w:val="000000"/>
                <w:sz w:val="24"/>
                <w:szCs w:val="24"/>
                <w:lang w:eastAsia="es-MX"/>
              </w:rPr>
              <w:t>Publicos</w:t>
            </w:r>
            <w:proofErr w:type="spellEnd"/>
            <w:r w:rsidRPr="00880FA4">
              <w:rPr>
                <w:rFonts w:ascii="Calibri" w:eastAsia="Times New Roman" w:hAnsi="Calibri" w:cs="Times New Roman"/>
                <w:b/>
                <w:bCs/>
                <w:color w:val="000000"/>
                <w:sz w:val="24"/>
                <w:szCs w:val="24"/>
                <w:lang w:eastAsia="es-MX"/>
              </w:rPr>
              <w:t xml:space="preserve"> SNC</w:t>
            </w:r>
          </w:p>
        </w:tc>
      </w:tr>
      <w:tr w:rsidR="00880FA4" w:rsidRPr="00880FA4" w:rsidTr="00880FA4">
        <w:trPr>
          <w:trHeight w:val="315"/>
        </w:trPr>
        <w:tc>
          <w:tcPr>
            <w:tcW w:w="949" w:type="pct"/>
            <w:vMerge w:val="restart"/>
            <w:tcBorders>
              <w:top w:val="single" w:sz="4" w:space="0" w:color="C5D9F1"/>
              <w:left w:val="single" w:sz="4" w:space="0" w:color="C5D9F1"/>
              <w:bottom w:val="single" w:sz="4" w:space="0" w:color="C5D9F1"/>
              <w:right w:val="single" w:sz="4" w:space="0" w:color="C5D9F1"/>
            </w:tcBorders>
            <w:shd w:val="clear" w:color="000000" w:fill="EBF1DE"/>
            <w:noWrap/>
            <w:vAlign w:val="center"/>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MONTO DISPUESTO:</w:t>
            </w:r>
          </w:p>
        </w:tc>
        <w:tc>
          <w:tcPr>
            <w:tcW w:w="951" w:type="pct"/>
            <w:gridSpan w:val="2"/>
            <w:vMerge w:val="restart"/>
            <w:tcBorders>
              <w:top w:val="single" w:sz="4" w:space="0" w:color="C5D9F1"/>
              <w:left w:val="single" w:sz="4" w:space="0" w:color="C5D9F1"/>
              <w:bottom w:val="single" w:sz="4" w:space="0" w:color="C5D9F1"/>
              <w:right w:val="single" w:sz="4" w:space="0" w:color="C5D9F1"/>
            </w:tcBorders>
            <w:shd w:val="clear" w:color="auto" w:fill="auto"/>
            <w:noWrap/>
            <w:vAlign w:val="center"/>
            <w:hideMark/>
          </w:tcPr>
          <w:p w:rsidR="00880FA4" w:rsidRPr="00880FA4" w:rsidRDefault="00880FA4" w:rsidP="00880FA4">
            <w:pPr>
              <w:spacing w:after="0" w:line="240" w:lineRule="auto"/>
              <w:jc w:val="center"/>
              <w:rPr>
                <w:rFonts w:ascii="Calibri" w:eastAsia="Times New Roman" w:hAnsi="Calibri" w:cs="Times New Roman"/>
                <w:b/>
                <w:bCs/>
                <w:color w:val="000000"/>
                <w:sz w:val="28"/>
                <w:szCs w:val="28"/>
                <w:lang w:eastAsia="es-MX"/>
              </w:rPr>
            </w:pPr>
            <w:r w:rsidRPr="00880FA4">
              <w:rPr>
                <w:rFonts w:ascii="Calibri" w:eastAsia="Times New Roman" w:hAnsi="Calibri" w:cs="Times New Roman"/>
                <w:b/>
                <w:bCs/>
                <w:color w:val="000000"/>
                <w:sz w:val="28"/>
                <w:szCs w:val="28"/>
                <w:lang w:eastAsia="es-MX"/>
              </w:rPr>
              <w:t>$20,000,000.00</w:t>
            </w:r>
          </w:p>
        </w:tc>
        <w:tc>
          <w:tcPr>
            <w:tcW w:w="951" w:type="pct"/>
            <w:gridSpan w:val="2"/>
            <w:tcBorders>
              <w:top w:val="single" w:sz="4" w:space="0" w:color="C5D9F1"/>
              <w:left w:val="nil"/>
              <w:bottom w:val="single" w:sz="4" w:space="0" w:color="C5D9F1"/>
              <w:right w:val="nil"/>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FECHA DE INICIO:</w:t>
            </w:r>
          </w:p>
        </w:tc>
        <w:tc>
          <w:tcPr>
            <w:tcW w:w="2149" w:type="pct"/>
            <w:tcBorders>
              <w:top w:val="single" w:sz="4" w:space="0" w:color="C5D9F1"/>
              <w:left w:val="single" w:sz="4" w:space="0" w:color="C5D9F1"/>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4"/>
                <w:szCs w:val="24"/>
                <w:lang w:eastAsia="es-MX"/>
              </w:rPr>
            </w:pPr>
            <w:r w:rsidRPr="00880FA4">
              <w:rPr>
                <w:rFonts w:ascii="Calibri" w:eastAsia="Times New Roman" w:hAnsi="Calibri" w:cs="Times New Roman"/>
                <w:b/>
                <w:bCs/>
                <w:color w:val="000000"/>
                <w:sz w:val="24"/>
                <w:szCs w:val="24"/>
                <w:lang w:eastAsia="es-MX"/>
              </w:rPr>
              <w:t>27 de noviembre de 2014</w:t>
            </w:r>
          </w:p>
        </w:tc>
      </w:tr>
      <w:tr w:rsidR="00880FA4" w:rsidRPr="00880FA4" w:rsidTr="00880FA4">
        <w:trPr>
          <w:trHeight w:val="315"/>
        </w:trPr>
        <w:tc>
          <w:tcPr>
            <w:tcW w:w="949" w:type="pct"/>
            <w:vMerge/>
            <w:tcBorders>
              <w:top w:val="single" w:sz="4" w:space="0" w:color="C5D9F1"/>
              <w:left w:val="single" w:sz="4" w:space="0" w:color="C5D9F1"/>
              <w:bottom w:val="single" w:sz="4" w:space="0" w:color="C5D9F1"/>
              <w:right w:val="single" w:sz="4" w:space="0" w:color="C5D9F1"/>
            </w:tcBorders>
            <w:vAlign w:val="center"/>
            <w:hideMark/>
          </w:tcPr>
          <w:p w:rsidR="00880FA4" w:rsidRPr="00880FA4" w:rsidRDefault="00880FA4" w:rsidP="00880FA4">
            <w:pPr>
              <w:spacing w:after="0" w:line="240" w:lineRule="auto"/>
              <w:rPr>
                <w:rFonts w:ascii="Calibri" w:eastAsia="Times New Roman" w:hAnsi="Calibri" w:cs="Times New Roman"/>
                <w:b/>
                <w:bCs/>
                <w:color w:val="000000"/>
                <w:lang w:eastAsia="es-MX"/>
              </w:rPr>
            </w:pPr>
          </w:p>
        </w:tc>
        <w:tc>
          <w:tcPr>
            <w:tcW w:w="951" w:type="pct"/>
            <w:gridSpan w:val="2"/>
            <w:vMerge/>
            <w:tcBorders>
              <w:top w:val="single" w:sz="4" w:space="0" w:color="C5D9F1"/>
              <w:left w:val="single" w:sz="4" w:space="0" w:color="C5D9F1"/>
              <w:bottom w:val="single" w:sz="4" w:space="0" w:color="C5D9F1"/>
              <w:right w:val="single" w:sz="4" w:space="0" w:color="C5D9F1"/>
            </w:tcBorders>
            <w:vAlign w:val="center"/>
            <w:hideMark/>
          </w:tcPr>
          <w:p w:rsidR="00880FA4" w:rsidRPr="00880FA4" w:rsidRDefault="00880FA4" w:rsidP="00880FA4">
            <w:pPr>
              <w:spacing w:after="0" w:line="240" w:lineRule="auto"/>
              <w:rPr>
                <w:rFonts w:ascii="Calibri" w:eastAsia="Times New Roman" w:hAnsi="Calibri" w:cs="Times New Roman"/>
                <w:b/>
                <w:bCs/>
                <w:color w:val="000000"/>
                <w:sz w:val="28"/>
                <w:szCs w:val="28"/>
                <w:lang w:eastAsia="es-MX"/>
              </w:rPr>
            </w:pPr>
          </w:p>
        </w:tc>
        <w:tc>
          <w:tcPr>
            <w:tcW w:w="951" w:type="pct"/>
            <w:gridSpan w:val="2"/>
            <w:tcBorders>
              <w:top w:val="single" w:sz="4" w:space="0" w:color="C5D9F1"/>
              <w:left w:val="nil"/>
              <w:bottom w:val="single" w:sz="4" w:space="0" w:color="C5D9F1"/>
              <w:right w:val="nil"/>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FECHA DE VENCIMIENTO:</w:t>
            </w:r>
          </w:p>
        </w:tc>
        <w:tc>
          <w:tcPr>
            <w:tcW w:w="2149" w:type="pct"/>
            <w:tcBorders>
              <w:top w:val="single" w:sz="4" w:space="0" w:color="C5D9F1"/>
              <w:left w:val="single" w:sz="4" w:space="0" w:color="C5D9F1"/>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4"/>
                <w:szCs w:val="24"/>
                <w:lang w:eastAsia="es-MX"/>
              </w:rPr>
            </w:pPr>
            <w:r w:rsidRPr="00880FA4">
              <w:rPr>
                <w:rFonts w:ascii="Calibri" w:eastAsia="Times New Roman" w:hAnsi="Calibri" w:cs="Times New Roman"/>
                <w:b/>
                <w:bCs/>
                <w:color w:val="000000"/>
                <w:sz w:val="24"/>
                <w:szCs w:val="24"/>
                <w:lang w:eastAsia="es-MX"/>
              </w:rPr>
              <w:t>25 de noviembre de 2024</w:t>
            </w:r>
          </w:p>
        </w:tc>
      </w:tr>
      <w:tr w:rsidR="00880FA4" w:rsidRPr="00880FA4" w:rsidTr="00880FA4">
        <w:trPr>
          <w:trHeight w:val="375"/>
        </w:trPr>
        <w:tc>
          <w:tcPr>
            <w:tcW w:w="1900" w:type="pct"/>
            <w:gridSpan w:val="3"/>
            <w:tcBorders>
              <w:top w:val="single" w:sz="4" w:space="0" w:color="C5D9F1"/>
              <w:left w:val="single" w:sz="4" w:space="0" w:color="C5D9F1"/>
              <w:bottom w:val="single" w:sz="4" w:space="0" w:color="C5D9F1"/>
              <w:right w:val="nil"/>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b/>
                <w:bCs/>
                <w:lang w:eastAsia="es-MX"/>
              </w:rPr>
            </w:pPr>
            <w:r w:rsidRPr="00880FA4">
              <w:rPr>
                <w:rFonts w:ascii="Calibri" w:eastAsia="Times New Roman" w:hAnsi="Calibri" w:cs="Times New Roman"/>
                <w:b/>
                <w:bCs/>
                <w:lang w:eastAsia="es-MX"/>
              </w:rPr>
              <w:t>SALDO AL 1° DE ENERO DE 2019 A CORTO PLAZO:</w:t>
            </w:r>
          </w:p>
        </w:tc>
        <w:tc>
          <w:tcPr>
            <w:tcW w:w="3100" w:type="pct"/>
            <w:gridSpan w:val="3"/>
            <w:tcBorders>
              <w:top w:val="single" w:sz="4" w:space="0" w:color="C5D9F1"/>
              <w:left w:val="single" w:sz="4" w:space="0" w:color="C5D9F1"/>
              <w:bottom w:val="single" w:sz="4" w:space="0" w:color="C5D9F1"/>
              <w:right w:val="single" w:sz="4" w:space="0" w:color="C5D9F1"/>
            </w:tcBorders>
            <w:shd w:val="clear" w:color="auto" w:fill="auto"/>
            <w:noWrap/>
            <w:vAlign w:val="center"/>
            <w:hideMark/>
          </w:tcPr>
          <w:p w:rsidR="00880FA4" w:rsidRPr="00880FA4" w:rsidRDefault="00880FA4" w:rsidP="00880FA4">
            <w:pPr>
              <w:spacing w:after="0" w:line="240" w:lineRule="auto"/>
              <w:jc w:val="center"/>
              <w:rPr>
                <w:rFonts w:ascii="Calibri" w:eastAsia="Times New Roman" w:hAnsi="Calibri" w:cs="Times New Roman"/>
                <w:b/>
                <w:bCs/>
                <w:color w:val="000000"/>
                <w:sz w:val="28"/>
                <w:szCs w:val="28"/>
                <w:lang w:eastAsia="es-MX"/>
              </w:rPr>
            </w:pPr>
            <w:bookmarkStart w:id="0" w:name="_GoBack"/>
            <w:bookmarkEnd w:id="0"/>
            <w:r w:rsidRPr="00880FA4">
              <w:rPr>
                <w:rFonts w:ascii="Calibri" w:eastAsia="Times New Roman" w:hAnsi="Calibri" w:cs="Times New Roman"/>
                <w:b/>
                <w:bCs/>
                <w:color w:val="000000"/>
                <w:sz w:val="28"/>
                <w:szCs w:val="28"/>
                <w:lang w:eastAsia="es-MX"/>
              </w:rPr>
              <w:t>$2,051,282.04</w:t>
            </w:r>
          </w:p>
        </w:tc>
      </w:tr>
      <w:tr w:rsidR="00880FA4" w:rsidRPr="00880FA4" w:rsidTr="00880FA4">
        <w:trPr>
          <w:trHeight w:val="375"/>
        </w:trPr>
        <w:tc>
          <w:tcPr>
            <w:tcW w:w="1900" w:type="pct"/>
            <w:gridSpan w:val="3"/>
            <w:tcBorders>
              <w:top w:val="single" w:sz="4" w:space="0" w:color="C5D9F1"/>
              <w:left w:val="single" w:sz="4" w:space="0" w:color="C5D9F1"/>
              <w:bottom w:val="single" w:sz="4" w:space="0" w:color="C5D9F1"/>
              <w:right w:val="nil"/>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b/>
                <w:bCs/>
                <w:lang w:eastAsia="es-MX"/>
              </w:rPr>
            </w:pPr>
            <w:r w:rsidRPr="00880FA4">
              <w:rPr>
                <w:rFonts w:ascii="Calibri" w:eastAsia="Times New Roman" w:hAnsi="Calibri" w:cs="Times New Roman"/>
                <w:b/>
                <w:bCs/>
                <w:lang w:eastAsia="es-MX"/>
              </w:rPr>
              <w:lastRenderedPageBreak/>
              <w:t>SALDO AL 1° DE ENERO DE 2019 A LARGO PLAZO:</w:t>
            </w:r>
          </w:p>
        </w:tc>
        <w:tc>
          <w:tcPr>
            <w:tcW w:w="3100" w:type="pct"/>
            <w:gridSpan w:val="3"/>
            <w:tcBorders>
              <w:top w:val="single" w:sz="4" w:space="0" w:color="C5D9F1"/>
              <w:left w:val="single" w:sz="4" w:space="0" w:color="C5D9F1"/>
              <w:bottom w:val="single" w:sz="4" w:space="0" w:color="C5D9F1"/>
              <w:right w:val="single" w:sz="4" w:space="0" w:color="C5D9F1"/>
            </w:tcBorders>
            <w:shd w:val="clear" w:color="auto" w:fill="auto"/>
            <w:noWrap/>
            <w:vAlign w:val="center"/>
            <w:hideMark/>
          </w:tcPr>
          <w:p w:rsidR="00880FA4" w:rsidRPr="00880FA4" w:rsidRDefault="00880FA4" w:rsidP="00880FA4">
            <w:pPr>
              <w:spacing w:after="0" w:line="240" w:lineRule="auto"/>
              <w:jc w:val="center"/>
              <w:rPr>
                <w:rFonts w:ascii="Calibri" w:eastAsia="Times New Roman" w:hAnsi="Calibri" w:cs="Times New Roman"/>
                <w:b/>
                <w:bCs/>
                <w:color w:val="000000"/>
                <w:sz w:val="28"/>
                <w:szCs w:val="28"/>
                <w:lang w:eastAsia="es-MX"/>
              </w:rPr>
            </w:pPr>
            <w:r w:rsidRPr="00880FA4">
              <w:rPr>
                <w:rFonts w:ascii="Calibri" w:eastAsia="Times New Roman" w:hAnsi="Calibri" w:cs="Times New Roman"/>
                <w:b/>
                <w:bCs/>
                <w:color w:val="000000"/>
                <w:sz w:val="28"/>
                <w:szCs w:val="28"/>
                <w:lang w:eastAsia="es-MX"/>
              </w:rPr>
              <w:t>$10,085,470.14</w:t>
            </w:r>
          </w:p>
        </w:tc>
      </w:tr>
      <w:tr w:rsidR="00880FA4" w:rsidRPr="00880FA4" w:rsidTr="00880FA4">
        <w:trPr>
          <w:trHeight w:val="300"/>
        </w:trPr>
        <w:tc>
          <w:tcPr>
            <w:tcW w:w="5000" w:type="pct"/>
            <w:gridSpan w:val="6"/>
            <w:tcBorders>
              <w:top w:val="single" w:sz="4" w:space="0" w:color="C5D9F1"/>
              <w:left w:val="single" w:sz="4" w:space="0" w:color="C5D9F1"/>
              <w:bottom w:val="single" w:sz="4" w:space="0" w:color="C5D9F1"/>
              <w:right w:val="single" w:sz="4" w:space="0" w:color="C5D9F1"/>
            </w:tcBorders>
            <w:shd w:val="clear" w:color="000000" w:fill="BFBFBF"/>
            <w:noWrap/>
            <w:vAlign w:val="bottom"/>
            <w:hideMark/>
          </w:tcPr>
          <w:p w:rsidR="00880FA4" w:rsidRPr="00880FA4" w:rsidRDefault="00880FA4" w:rsidP="00880FA4">
            <w:pPr>
              <w:spacing w:after="0" w:line="240" w:lineRule="auto"/>
              <w:jc w:val="center"/>
              <w:rPr>
                <w:rFonts w:ascii="Calibri" w:eastAsia="Times New Roman" w:hAnsi="Calibri" w:cs="Times New Roman"/>
                <w:b/>
                <w:bCs/>
                <w:lang w:eastAsia="es-MX"/>
              </w:rPr>
            </w:pPr>
            <w:r w:rsidRPr="00880FA4">
              <w:rPr>
                <w:rFonts w:ascii="Calibri" w:eastAsia="Times New Roman" w:hAnsi="Calibri" w:cs="Times New Roman"/>
                <w:b/>
                <w:bCs/>
                <w:lang w:eastAsia="es-MX"/>
              </w:rPr>
              <w:t>OBLIGACIONES A LARGO PLAZO</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CONCEPTO</w:t>
            </w:r>
          </w:p>
        </w:tc>
        <w:tc>
          <w:tcPr>
            <w:tcW w:w="432"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DISPOSICIÓN</w:t>
            </w:r>
          </w:p>
        </w:tc>
        <w:tc>
          <w:tcPr>
            <w:tcW w:w="51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AMORTIZACIÓN</w:t>
            </w:r>
          </w:p>
        </w:tc>
        <w:tc>
          <w:tcPr>
            <w:tcW w:w="542"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REVALUACIONES</w:t>
            </w:r>
          </w:p>
        </w:tc>
        <w:tc>
          <w:tcPr>
            <w:tcW w:w="40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INTERÉS</w:t>
            </w:r>
          </w:p>
        </w:tc>
        <w:tc>
          <w:tcPr>
            <w:tcW w:w="214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COMISIONES</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Largo Plazo</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51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40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r>
      <w:tr w:rsidR="00880FA4" w:rsidRPr="00880FA4" w:rsidTr="00880FA4">
        <w:trPr>
          <w:trHeight w:val="300"/>
        </w:trPr>
        <w:tc>
          <w:tcPr>
            <w:tcW w:w="5000" w:type="pct"/>
            <w:gridSpan w:val="6"/>
            <w:tcBorders>
              <w:top w:val="single" w:sz="4" w:space="0" w:color="C5D9F1"/>
              <w:left w:val="single" w:sz="4" w:space="0" w:color="C5D9F1"/>
              <w:bottom w:val="single" w:sz="4" w:space="0" w:color="C5D9F1"/>
              <w:right w:val="single" w:sz="4" w:space="0" w:color="C5D9F1"/>
            </w:tcBorders>
            <w:shd w:val="clear" w:color="000000" w:fill="BFBFBF"/>
            <w:noWrap/>
            <w:vAlign w:val="bottom"/>
            <w:hideMark/>
          </w:tcPr>
          <w:p w:rsidR="00880FA4" w:rsidRPr="00880FA4" w:rsidRDefault="00880FA4" w:rsidP="00880FA4">
            <w:pPr>
              <w:spacing w:after="0" w:line="240" w:lineRule="auto"/>
              <w:jc w:val="center"/>
              <w:rPr>
                <w:rFonts w:ascii="Calibri" w:eastAsia="Times New Roman" w:hAnsi="Calibri" w:cs="Times New Roman"/>
                <w:b/>
                <w:bCs/>
                <w:lang w:eastAsia="es-MX"/>
              </w:rPr>
            </w:pPr>
            <w:r w:rsidRPr="00880FA4">
              <w:rPr>
                <w:rFonts w:ascii="Calibri" w:eastAsia="Times New Roman" w:hAnsi="Calibri" w:cs="Times New Roman"/>
                <w:b/>
                <w:bCs/>
                <w:lang w:eastAsia="es-MX"/>
              </w:rPr>
              <w:t>OBLIGACIONES A CORTO PLAZO</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MES</w:t>
            </w:r>
          </w:p>
        </w:tc>
        <w:tc>
          <w:tcPr>
            <w:tcW w:w="432"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DISPOSICIÓN</w:t>
            </w:r>
          </w:p>
        </w:tc>
        <w:tc>
          <w:tcPr>
            <w:tcW w:w="51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AMORTIZACIÓN</w:t>
            </w:r>
          </w:p>
        </w:tc>
        <w:tc>
          <w:tcPr>
            <w:tcW w:w="542"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REVALUACIONES</w:t>
            </w:r>
          </w:p>
        </w:tc>
        <w:tc>
          <w:tcPr>
            <w:tcW w:w="40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INTERÉS</w:t>
            </w:r>
          </w:p>
        </w:tc>
        <w:tc>
          <w:tcPr>
            <w:tcW w:w="214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center"/>
              <w:rPr>
                <w:rFonts w:ascii="Calibri" w:eastAsia="Times New Roman" w:hAnsi="Calibri" w:cs="Times New Roman"/>
                <w:b/>
                <w:bCs/>
                <w:color w:val="000000"/>
                <w:sz w:val="20"/>
                <w:szCs w:val="20"/>
                <w:lang w:eastAsia="es-MX"/>
              </w:rPr>
            </w:pPr>
            <w:r w:rsidRPr="00880FA4">
              <w:rPr>
                <w:rFonts w:ascii="Calibri" w:eastAsia="Times New Roman" w:hAnsi="Calibri" w:cs="Times New Roman"/>
                <w:b/>
                <w:bCs/>
                <w:color w:val="000000"/>
                <w:sz w:val="20"/>
                <w:szCs w:val="20"/>
                <w:lang w:eastAsia="es-MX"/>
              </w:rPr>
              <w:t>COMISIONES</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ENERO</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51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170,940.17</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40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111,228.28</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FEBRERO</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51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170,940.17</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40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113,750.87</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MARZO</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51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170,940.17</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40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100,727.29</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ABRIL</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51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170,940.17</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40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109,616.00</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MAYO</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51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170,940.17</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40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111,348.53</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JUNIO</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51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170,940.17</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c>
          <w:tcPr>
            <w:tcW w:w="409" w:type="pct"/>
            <w:tcBorders>
              <w:top w:val="single" w:sz="4" w:space="0" w:color="C5D9F1"/>
              <w:left w:val="nil"/>
              <w:bottom w:val="single" w:sz="4" w:space="0" w:color="C5D9F1"/>
              <w:right w:val="single" w:sz="4" w:space="0" w:color="C5D9F1"/>
            </w:tcBorders>
            <w:shd w:val="clear" w:color="auto" w:fill="auto"/>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99,458.02</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0.00</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JULIO</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1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40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AGOSTO</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1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40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SEPTIEMBRE</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1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40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OCTUBRE</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1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40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NOVIEMBRE</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1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40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EBF1DE"/>
            <w:noWrap/>
            <w:vAlign w:val="bottom"/>
            <w:hideMark/>
          </w:tcPr>
          <w:p w:rsidR="00880FA4" w:rsidRPr="00880FA4" w:rsidRDefault="00880FA4" w:rsidP="00880FA4">
            <w:pPr>
              <w:spacing w:after="0" w:line="240" w:lineRule="auto"/>
              <w:jc w:val="right"/>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DICIEMBRE</w:t>
            </w:r>
          </w:p>
        </w:tc>
        <w:tc>
          <w:tcPr>
            <w:tcW w:w="43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1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542"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40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c>
          <w:tcPr>
            <w:tcW w:w="2149" w:type="pct"/>
            <w:tcBorders>
              <w:top w:val="single" w:sz="4" w:space="0" w:color="FFFFFF"/>
              <w:left w:val="single" w:sz="4" w:space="0" w:color="FFFFFF"/>
              <w:bottom w:val="single" w:sz="4" w:space="0" w:color="FFFFFF"/>
              <w:right w:val="single" w:sz="4" w:space="0" w:color="FFFFFF"/>
            </w:tcBorders>
            <w:shd w:val="clear" w:color="000000" w:fill="FCD5B4"/>
            <w:noWrap/>
            <w:vAlign w:val="bottom"/>
            <w:hideMark/>
          </w:tcPr>
          <w:p w:rsidR="00880FA4" w:rsidRPr="00880FA4" w:rsidRDefault="00880FA4" w:rsidP="00880FA4">
            <w:pPr>
              <w:spacing w:after="0" w:line="240" w:lineRule="auto"/>
              <w:rPr>
                <w:rFonts w:ascii="Calibri" w:eastAsia="Times New Roman" w:hAnsi="Calibri" w:cs="Times New Roman"/>
                <w:color w:val="000000"/>
                <w:lang w:eastAsia="es-MX"/>
              </w:rPr>
            </w:pPr>
            <w:r w:rsidRPr="00880FA4">
              <w:rPr>
                <w:rFonts w:ascii="Calibri" w:eastAsia="Times New Roman" w:hAnsi="Calibri" w:cs="Times New Roman"/>
                <w:color w:val="000000"/>
                <w:lang w:eastAsia="es-MX"/>
              </w:rPr>
              <w:t> </w:t>
            </w:r>
          </w:p>
        </w:tc>
      </w:tr>
      <w:tr w:rsidR="00880FA4" w:rsidRPr="00880FA4" w:rsidTr="00880FA4">
        <w:trPr>
          <w:trHeight w:val="300"/>
        </w:trPr>
        <w:tc>
          <w:tcPr>
            <w:tcW w:w="949" w:type="pct"/>
            <w:tcBorders>
              <w:top w:val="single" w:sz="4" w:space="0" w:color="C5D9F1"/>
              <w:left w:val="single" w:sz="4" w:space="0" w:color="C5D9F1"/>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right"/>
              <w:rPr>
                <w:rFonts w:ascii="Calibri" w:eastAsia="Times New Roman" w:hAnsi="Calibri" w:cs="Times New Roman"/>
                <w:b/>
                <w:bCs/>
                <w:i/>
                <w:iCs/>
                <w:color w:val="000000"/>
                <w:lang w:eastAsia="es-MX"/>
              </w:rPr>
            </w:pPr>
            <w:r w:rsidRPr="00880FA4">
              <w:rPr>
                <w:rFonts w:ascii="Calibri" w:eastAsia="Times New Roman" w:hAnsi="Calibri" w:cs="Times New Roman"/>
                <w:b/>
                <w:bCs/>
                <w:i/>
                <w:iCs/>
                <w:color w:val="000000"/>
                <w:lang w:eastAsia="es-MX"/>
              </w:rPr>
              <w:t>SUMA</w:t>
            </w:r>
          </w:p>
        </w:tc>
        <w:tc>
          <w:tcPr>
            <w:tcW w:w="432"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0.00</w:t>
            </w:r>
          </w:p>
        </w:tc>
        <w:tc>
          <w:tcPr>
            <w:tcW w:w="51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1,025,641.02</w:t>
            </w:r>
          </w:p>
        </w:tc>
        <w:tc>
          <w:tcPr>
            <w:tcW w:w="542"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0.00</w:t>
            </w:r>
          </w:p>
        </w:tc>
        <w:tc>
          <w:tcPr>
            <w:tcW w:w="40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646,128.99</w:t>
            </w:r>
          </w:p>
        </w:tc>
        <w:tc>
          <w:tcPr>
            <w:tcW w:w="2149" w:type="pct"/>
            <w:tcBorders>
              <w:top w:val="single" w:sz="4" w:space="0" w:color="C5D9F1"/>
              <w:left w:val="nil"/>
              <w:bottom w:val="single" w:sz="4" w:space="0" w:color="C5D9F1"/>
              <w:right w:val="single" w:sz="4" w:space="0" w:color="C5D9F1"/>
            </w:tcBorders>
            <w:shd w:val="clear" w:color="000000" w:fill="D9D9D9"/>
            <w:noWrap/>
            <w:vAlign w:val="bottom"/>
            <w:hideMark/>
          </w:tcPr>
          <w:p w:rsidR="00880FA4" w:rsidRPr="00880FA4" w:rsidRDefault="00880FA4" w:rsidP="00880FA4">
            <w:pPr>
              <w:spacing w:after="0" w:line="240" w:lineRule="auto"/>
              <w:jc w:val="right"/>
              <w:rPr>
                <w:rFonts w:ascii="Calibri" w:eastAsia="Times New Roman" w:hAnsi="Calibri" w:cs="Times New Roman"/>
                <w:b/>
                <w:bCs/>
                <w:color w:val="000000"/>
                <w:lang w:eastAsia="es-MX"/>
              </w:rPr>
            </w:pPr>
            <w:r w:rsidRPr="00880FA4">
              <w:rPr>
                <w:rFonts w:ascii="Calibri" w:eastAsia="Times New Roman" w:hAnsi="Calibri" w:cs="Times New Roman"/>
                <w:b/>
                <w:bCs/>
                <w:color w:val="000000"/>
                <w:lang w:eastAsia="es-MX"/>
              </w:rPr>
              <w:t>0.00</w:t>
            </w:r>
          </w:p>
        </w:tc>
      </w:tr>
    </w:tbl>
    <w:p w:rsidR="00880FA4" w:rsidRDefault="00880FA4" w:rsidP="00880FA4">
      <w:pPr>
        <w:pStyle w:val="Default"/>
        <w:jc w:val="both"/>
        <w:rPr>
          <w:b/>
          <w:bCs/>
          <w:sz w:val="22"/>
          <w:szCs w:val="22"/>
        </w:rPr>
      </w:pPr>
    </w:p>
    <w:p w:rsidR="00880FA4" w:rsidRPr="00AD12B7" w:rsidRDefault="00880FA4" w:rsidP="00880FA4">
      <w:pPr>
        <w:pStyle w:val="Default"/>
        <w:jc w:val="both"/>
        <w:rPr>
          <w:b/>
          <w:bCs/>
          <w:sz w:val="22"/>
          <w:szCs w:val="22"/>
        </w:rPr>
      </w:pPr>
    </w:p>
    <w:p w:rsidR="00880FA4" w:rsidRPr="00AD12B7" w:rsidRDefault="00880FA4" w:rsidP="00880FA4">
      <w:pPr>
        <w:pStyle w:val="Default"/>
        <w:jc w:val="both"/>
        <w:rPr>
          <w:b/>
          <w:bCs/>
          <w:sz w:val="22"/>
          <w:szCs w:val="22"/>
        </w:rPr>
      </w:pPr>
      <w:r w:rsidRPr="00AD12B7">
        <w:rPr>
          <w:b/>
          <w:bCs/>
          <w:sz w:val="22"/>
          <w:szCs w:val="22"/>
        </w:rPr>
        <w:t>12. Calificaciones otorgadas</w:t>
      </w:r>
    </w:p>
    <w:p w:rsidR="00880FA4" w:rsidRPr="00AD12B7" w:rsidRDefault="00880FA4" w:rsidP="00880FA4">
      <w:pPr>
        <w:pStyle w:val="Default"/>
        <w:jc w:val="both"/>
        <w:rPr>
          <w:b/>
          <w:bCs/>
          <w:sz w:val="22"/>
          <w:szCs w:val="22"/>
        </w:rPr>
      </w:pPr>
    </w:p>
    <w:p w:rsidR="00880FA4" w:rsidRPr="00AD12B7" w:rsidRDefault="00880FA4" w:rsidP="00880FA4">
      <w:pPr>
        <w:pStyle w:val="Default"/>
        <w:jc w:val="both"/>
        <w:rPr>
          <w:sz w:val="22"/>
          <w:szCs w:val="22"/>
        </w:rPr>
      </w:pPr>
      <w:r w:rsidRPr="00AD12B7">
        <w:rPr>
          <w:sz w:val="22"/>
          <w:szCs w:val="22"/>
        </w:rPr>
        <w:t>Informar, tanto del ente público como cualquier transacción realizada, que haya sido sujeta a una calificación crediticia.</w:t>
      </w:r>
    </w:p>
    <w:p w:rsidR="00880FA4" w:rsidRPr="00AD12B7" w:rsidRDefault="00880FA4" w:rsidP="00880FA4">
      <w:pPr>
        <w:pStyle w:val="Default"/>
        <w:jc w:val="both"/>
        <w:rPr>
          <w:sz w:val="22"/>
          <w:szCs w:val="22"/>
        </w:rPr>
      </w:pPr>
    </w:p>
    <w:p w:rsidR="00880FA4" w:rsidRPr="00AD12B7" w:rsidRDefault="00880FA4" w:rsidP="00880FA4">
      <w:pPr>
        <w:pStyle w:val="Default"/>
        <w:jc w:val="both"/>
        <w:rPr>
          <w:sz w:val="22"/>
          <w:szCs w:val="22"/>
        </w:rPr>
      </w:pPr>
      <w:r w:rsidRPr="00AD12B7">
        <w:rPr>
          <w:b/>
          <w:bCs/>
          <w:sz w:val="22"/>
          <w:szCs w:val="22"/>
        </w:rPr>
        <w:t xml:space="preserve">13. Proceso de Mejora </w:t>
      </w:r>
    </w:p>
    <w:p w:rsidR="00880FA4" w:rsidRPr="00AD12B7" w:rsidRDefault="00880FA4" w:rsidP="00880FA4">
      <w:pPr>
        <w:pStyle w:val="Default"/>
        <w:jc w:val="both"/>
        <w:rPr>
          <w:sz w:val="22"/>
          <w:szCs w:val="22"/>
        </w:rPr>
      </w:pPr>
      <w:r w:rsidRPr="00AD12B7">
        <w:rPr>
          <w:sz w:val="22"/>
          <w:szCs w:val="22"/>
        </w:rPr>
        <w:t xml:space="preserve">Se informará de: </w:t>
      </w:r>
    </w:p>
    <w:p w:rsidR="00880FA4" w:rsidRPr="00AD12B7" w:rsidRDefault="00880FA4" w:rsidP="00880FA4">
      <w:pPr>
        <w:pStyle w:val="Default"/>
        <w:numPr>
          <w:ilvl w:val="0"/>
          <w:numId w:val="20"/>
        </w:numPr>
        <w:jc w:val="both"/>
        <w:rPr>
          <w:sz w:val="22"/>
          <w:szCs w:val="22"/>
        </w:rPr>
      </w:pPr>
      <w:r w:rsidRPr="00AD12B7">
        <w:rPr>
          <w:sz w:val="22"/>
          <w:szCs w:val="22"/>
        </w:rPr>
        <w:t xml:space="preserve">Principales Políticas de control interno. </w:t>
      </w:r>
    </w:p>
    <w:p w:rsidR="00880FA4" w:rsidRPr="00AD12B7" w:rsidRDefault="00880FA4" w:rsidP="00880FA4">
      <w:pPr>
        <w:pStyle w:val="Default"/>
        <w:numPr>
          <w:ilvl w:val="0"/>
          <w:numId w:val="20"/>
        </w:numPr>
        <w:jc w:val="both"/>
        <w:rPr>
          <w:sz w:val="22"/>
          <w:szCs w:val="22"/>
        </w:rPr>
      </w:pPr>
      <w:r w:rsidRPr="00AD12B7">
        <w:rPr>
          <w:sz w:val="22"/>
          <w:szCs w:val="22"/>
        </w:rPr>
        <w:t>Medidas de desempeño financiero, metas y alcance.</w:t>
      </w:r>
    </w:p>
    <w:p w:rsidR="00880FA4" w:rsidRPr="00AD12B7" w:rsidRDefault="00880FA4" w:rsidP="00880FA4">
      <w:pPr>
        <w:pStyle w:val="Default"/>
        <w:jc w:val="both"/>
        <w:rPr>
          <w:sz w:val="22"/>
          <w:szCs w:val="22"/>
        </w:rPr>
      </w:pPr>
    </w:p>
    <w:p w:rsidR="00880FA4" w:rsidRPr="00AD12B7" w:rsidRDefault="00880FA4" w:rsidP="00880FA4">
      <w:pPr>
        <w:pStyle w:val="Default"/>
        <w:jc w:val="both"/>
        <w:rPr>
          <w:sz w:val="22"/>
          <w:szCs w:val="22"/>
        </w:rPr>
      </w:pPr>
      <w:r w:rsidRPr="00AD12B7">
        <w:rPr>
          <w:b/>
          <w:bCs/>
          <w:sz w:val="22"/>
          <w:szCs w:val="22"/>
        </w:rPr>
        <w:t xml:space="preserve">14. Información por Segmentos </w:t>
      </w:r>
    </w:p>
    <w:p w:rsidR="00880FA4" w:rsidRPr="00AD12B7" w:rsidRDefault="00880FA4" w:rsidP="00880FA4">
      <w:pPr>
        <w:jc w:val="both"/>
        <w:rPr>
          <w:rFonts w:ascii="Arial" w:hAnsi="Arial" w:cs="Arial"/>
        </w:rPr>
      </w:pPr>
      <w:r w:rsidRPr="00AD12B7">
        <w:rPr>
          <w:rFonts w:ascii="Arial" w:hAnsi="Arial" w:cs="Arial"/>
        </w:rPr>
        <w:lastRenderedPageBreak/>
        <w:t xml:space="preserve">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 </w:t>
      </w:r>
    </w:p>
    <w:p w:rsidR="00880FA4" w:rsidRPr="00AD12B7" w:rsidRDefault="00880FA4" w:rsidP="00880FA4">
      <w:pPr>
        <w:jc w:val="both"/>
        <w:rPr>
          <w:rFonts w:ascii="Arial" w:hAnsi="Arial" w:cs="Arial"/>
        </w:rPr>
      </w:pPr>
    </w:p>
    <w:p w:rsidR="00880FA4" w:rsidRPr="00AD12B7" w:rsidRDefault="00880FA4" w:rsidP="00880FA4">
      <w:pPr>
        <w:jc w:val="both"/>
        <w:rPr>
          <w:rFonts w:ascii="Arial" w:hAnsi="Arial" w:cs="Arial"/>
        </w:rPr>
      </w:pPr>
      <w:r w:rsidRPr="00AD12B7">
        <w:rPr>
          <w:rFonts w:ascii="Arial" w:hAnsi="Arial" w:cs="Arial"/>
        </w:rPr>
        <w:t>Consecuentemente, esta información contribuye al análisis más preciso de la situación financiera, grados y fuentes de riesgo y crecimiento potencial de negocio.</w:t>
      </w:r>
    </w:p>
    <w:p w:rsidR="00880FA4" w:rsidRPr="00AD12B7" w:rsidRDefault="00880FA4" w:rsidP="00880FA4">
      <w:pPr>
        <w:jc w:val="both"/>
        <w:rPr>
          <w:rFonts w:ascii="Arial" w:hAnsi="Arial" w:cs="Arial"/>
        </w:rPr>
      </w:pPr>
    </w:p>
    <w:p w:rsidR="00880FA4" w:rsidRPr="00AD12B7" w:rsidRDefault="00880FA4" w:rsidP="00880FA4">
      <w:pPr>
        <w:jc w:val="both"/>
        <w:rPr>
          <w:rFonts w:ascii="Arial" w:hAnsi="Arial" w:cs="Arial"/>
        </w:rPr>
      </w:pPr>
      <w:r w:rsidRPr="00AD12B7">
        <w:rPr>
          <w:rFonts w:ascii="Arial" w:hAnsi="Arial" w:cs="Arial"/>
          <w:b/>
          <w:bCs/>
        </w:rPr>
        <w:t xml:space="preserve">15. Eventos Posteriores al Cierre </w:t>
      </w:r>
    </w:p>
    <w:p w:rsidR="00880FA4" w:rsidRPr="00AD12B7" w:rsidRDefault="00880FA4" w:rsidP="00880FA4">
      <w:pPr>
        <w:jc w:val="both"/>
        <w:rPr>
          <w:rFonts w:ascii="Arial" w:hAnsi="Arial" w:cs="Arial"/>
        </w:rPr>
      </w:pPr>
      <w:r w:rsidRPr="00AD12B7">
        <w:rPr>
          <w:rFonts w:ascii="Arial" w:hAnsi="Arial" w:cs="Arial"/>
        </w:rPr>
        <w:t xml:space="preserve">El ente público informará el efecto en sus estados financieros de aquellos hechos ocurridos en el período posterior al que informa, que proporcionan mayor evidencia sobre eventos que le afectan económicamente y que no se conocían a la fecha de cierre. </w:t>
      </w:r>
    </w:p>
    <w:p w:rsidR="00880FA4" w:rsidRPr="00AD12B7" w:rsidRDefault="00880FA4" w:rsidP="00880FA4">
      <w:pPr>
        <w:jc w:val="both"/>
        <w:rPr>
          <w:rFonts w:ascii="Arial" w:hAnsi="Arial" w:cs="Arial"/>
        </w:rPr>
      </w:pPr>
      <w:r w:rsidRPr="00AD12B7">
        <w:rPr>
          <w:rFonts w:ascii="Arial" w:hAnsi="Arial" w:cs="Arial"/>
          <w:b/>
          <w:bCs/>
        </w:rPr>
        <w:t xml:space="preserve">16. Partes Relacionadas </w:t>
      </w:r>
    </w:p>
    <w:p w:rsidR="00880FA4" w:rsidRPr="00AD12B7" w:rsidRDefault="00880FA4" w:rsidP="00880FA4">
      <w:pPr>
        <w:jc w:val="both"/>
        <w:rPr>
          <w:rFonts w:ascii="Arial" w:hAnsi="Arial" w:cs="Arial"/>
        </w:rPr>
      </w:pPr>
      <w:r w:rsidRPr="00AD12B7">
        <w:rPr>
          <w:rFonts w:ascii="Arial" w:hAnsi="Arial" w:cs="Arial"/>
        </w:rPr>
        <w:t xml:space="preserve">Se debe establecer por escrito que no existen partes relacionadas que pudieran ejercer influencia significativa sobre la toma de decisiones financieras y operativas. </w:t>
      </w:r>
    </w:p>
    <w:p w:rsidR="00880FA4" w:rsidRPr="00AD12B7" w:rsidRDefault="00880FA4" w:rsidP="00880FA4">
      <w:pPr>
        <w:jc w:val="both"/>
        <w:rPr>
          <w:rFonts w:ascii="Arial" w:hAnsi="Arial" w:cs="Arial"/>
        </w:rPr>
      </w:pPr>
      <w:r w:rsidRPr="00AD12B7">
        <w:rPr>
          <w:rFonts w:ascii="Arial" w:hAnsi="Arial" w:cs="Arial"/>
          <w:b/>
          <w:bCs/>
        </w:rPr>
        <w:t xml:space="preserve">17. Responsabilidad Sobre la Presentación Razonable de la Información Contable </w:t>
      </w:r>
    </w:p>
    <w:p w:rsidR="00880FA4" w:rsidRPr="00AD12B7" w:rsidRDefault="00880FA4" w:rsidP="00880FA4">
      <w:pPr>
        <w:jc w:val="both"/>
        <w:rPr>
          <w:rFonts w:ascii="Arial" w:hAnsi="Arial" w:cs="Arial"/>
        </w:rPr>
      </w:pPr>
      <w:r w:rsidRPr="00AD12B7">
        <w:rPr>
          <w:rFonts w:ascii="Arial" w:hAnsi="Arial" w:cs="Arial"/>
        </w:rPr>
        <w:t xml:space="preserve">La Información Contable deberá estar firmada en cada página de </w:t>
      </w:r>
      <w:proofErr w:type="gramStart"/>
      <w:r w:rsidRPr="00AD12B7">
        <w:rPr>
          <w:rFonts w:ascii="Arial" w:hAnsi="Arial" w:cs="Arial"/>
        </w:rPr>
        <w:t>la misma</w:t>
      </w:r>
      <w:proofErr w:type="gramEnd"/>
      <w:r w:rsidRPr="00AD12B7">
        <w:rPr>
          <w:rFonts w:ascii="Arial" w:hAnsi="Arial" w:cs="Arial"/>
        </w:rPr>
        <w:t xml:space="preserve"> e incluir al final la siguiente leyenda: “Bajo protesta de decir verdad declaramos que los Estados Financieros y sus notas, son razonablemente correctos y son responsabilidad del emisor”. Lo anterior, no será aplicable para la información contable consolidada.</w:t>
      </w:r>
    </w:p>
    <w:p w:rsidR="007D65E5" w:rsidRDefault="007D65E5"/>
    <w:sectPr w:rsidR="007D65E5" w:rsidSect="00FA6FA7">
      <w:pgSz w:w="15840" w:h="12240" w:orient="landscape"/>
      <w:pgMar w:top="1276"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FF6ED3"/>
    <w:multiLevelType w:val="hybridMultilevel"/>
    <w:tmpl w:val="DAB4C6C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4E009EF"/>
    <w:multiLevelType w:val="hybridMultilevel"/>
    <w:tmpl w:val="CC9E7AA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99D3EEE"/>
    <w:multiLevelType w:val="hybridMultilevel"/>
    <w:tmpl w:val="C958C5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AE617A8"/>
    <w:multiLevelType w:val="hybridMultilevel"/>
    <w:tmpl w:val="08C6D7BE"/>
    <w:lvl w:ilvl="0" w:tplc="37D8D472">
      <w:start w:val="1"/>
      <w:numFmt w:val="lowerLetter"/>
      <w:lvlText w:val="%1)"/>
      <w:lvlJc w:val="left"/>
      <w:pPr>
        <w:ind w:left="720" w:hanging="360"/>
      </w:pPr>
      <w:rPr>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EBF356E"/>
    <w:multiLevelType w:val="hybridMultilevel"/>
    <w:tmpl w:val="0BA2861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05E5E64"/>
    <w:multiLevelType w:val="hybridMultilevel"/>
    <w:tmpl w:val="F1D6648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2305012"/>
    <w:multiLevelType w:val="hybridMultilevel"/>
    <w:tmpl w:val="9DD2FA56"/>
    <w:lvl w:ilvl="0" w:tplc="7F2AF070">
      <w:start w:val="1"/>
      <w:numFmt w:val="lowerLetter"/>
      <w:lvlText w:val="%1)"/>
      <w:lvlJc w:val="left"/>
      <w:pPr>
        <w:ind w:left="720" w:hanging="360"/>
      </w:pPr>
      <w:rPr>
        <w:rFonts w:hint="default"/>
        <w:sz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4422343"/>
    <w:multiLevelType w:val="hybridMultilevel"/>
    <w:tmpl w:val="0C42982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87B4437"/>
    <w:multiLevelType w:val="hybridMultilevel"/>
    <w:tmpl w:val="44CCDB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9857B13"/>
    <w:multiLevelType w:val="hybridMultilevel"/>
    <w:tmpl w:val="CA8CD37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C21257F"/>
    <w:multiLevelType w:val="hybridMultilevel"/>
    <w:tmpl w:val="8460E6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7FA3599"/>
    <w:multiLevelType w:val="hybridMultilevel"/>
    <w:tmpl w:val="DC74C8CA"/>
    <w:lvl w:ilvl="0" w:tplc="0C0A4D24">
      <w:start w:val="1"/>
      <w:numFmt w:val="lowerLetter"/>
      <w:lvlText w:val="%1)"/>
      <w:lvlJc w:val="left"/>
      <w:pPr>
        <w:ind w:left="720" w:hanging="360"/>
      </w:pPr>
      <w:rPr>
        <w:rFonts w:hint="default"/>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E30700D"/>
    <w:multiLevelType w:val="hybridMultilevel"/>
    <w:tmpl w:val="19762B70"/>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2771F9F"/>
    <w:multiLevelType w:val="hybridMultilevel"/>
    <w:tmpl w:val="B4FA62C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36A0E54"/>
    <w:multiLevelType w:val="hybridMultilevel"/>
    <w:tmpl w:val="BDDC3276"/>
    <w:lvl w:ilvl="0" w:tplc="080A000F">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5" w15:restartNumberingAfterBreak="0">
    <w:nsid w:val="53104F76"/>
    <w:multiLevelType w:val="hybridMultilevel"/>
    <w:tmpl w:val="3C029C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2715711"/>
    <w:multiLevelType w:val="hybridMultilevel"/>
    <w:tmpl w:val="B5BC6EF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97756C7"/>
    <w:multiLevelType w:val="hybridMultilevel"/>
    <w:tmpl w:val="9D0441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6FF308CC"/>
    <w:multiLevelType w:val="hybridMultilevel"/>
    <w:tmpl w:val="F79E282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0554388"/>
    <w:multiLevelType w:val="hybridMultilevel"/>
    <w:tmpl w:val="CFCE9ACC"/>
    <w:lvl w:ilvl="0" w:tplc="381AB27C">
      <w:start w:val="3"/>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9"/>
  </w:num>
  <w:num w:numId="2">
    <w:abstractNumId w:val="16"/>
  </w:num>
  <w:num w:numId="3">
    <w:abstractNumId w:val="1"/>
  </w:num>
  <w:num w:numId="4">
    <w:abstractNumId w:val="5"/>
  </w:num>
  <w:num w:numId="5">
    <w:abstractNumId w:val="4"/>
  </w:num>
  <w:num w:numId="6">
    <w:abstractNumId w:val="17"/>
  </w:num>
  <w:num w:numId="7">
    <w:abstractNumId w:val="18"/>
  </w:num>
  <w:num w:numId="8">
    <w:abstractNumId w:val="12"/>
  </w:num>
  <w:num w:numId="9">
    <w:abstractNumId w:val="14"/>
  </w:num>
  <w:num w:numId="10">
    <w:abstractNumId w:val="7"/>
  </w:num>
  <w:num w:numId="11">
    <w:abstractNumId w:val="3"/>
  </w:num>
  <w:num w:numId="12">
    <w:abstractNumId w:val="11"/>
  </w:num>
  <w:num w:numId="13">
    <w:abstractNumId w:val="10"/>
  </w:num>
  <w:num w:numId="14">
    <w:abstractNumId w:val="6"/>
  </w:num>
  <w:num w:numId="15">
    <w:abstractNumId w:val="0"/>
  </w:num>
  <w:num w:numId="16">
    <w:abstractNumId w:val="13"/>
  </w:num>
  <w:num w:numId="17">
    <w:abstractNumId w:val="8"/>
  </w:num>
  <w:num w:numId="18">
    <w:abstractNumId w:val="2"/>
  </w:num>
  <w:num w:numId="19">
    <w:abstractNumId w:val="9"/>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FA4"/>
    <w:rsid w:val="007D65E5"/>
    <w:rsid w:val="00880FA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EDB37"/>
  <w15:chartTrackingRefBased/>
  <w15:docId w15:val="{D44D3E58-D856-49F6-BF39-2017DFE9F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0FA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80FA4"/>
    <w:pPr>
      <w:ind w:left="720"/>
      <w:contextualSpacing/>
    </w:pPr>
  </w:style>
  <w:style w:type="paragraph" w:styleId="Sinespaciado">
    <w:name w:val="No Spacing"/>
    <w:uiPriority w:val="1"/>
    <w:qFormat/>
    <w:rsid w:val="00880FA4"/>
    <w:pPr>
      <w:spacing w:after="0" w:line="240" w:lineRule="auto"/>
    </w:pPr>
  </w:style>
  <w:style w:type="character" w:styleId="Textodelmarcadordeposicin">
    <w:name w:val="Placeholder Text"/>
    <w:basedOn w:val="Fuentedeprrafopredeter"/>
    <w:uiPriority w:val="99"/>
    <w:semiHidden/>
    <w:rsid w:val="00880FA4"/>
    <w:rPr>
      <w:color w:val="808080"/>
    </w:rPr>
  </w:style>
  <w:style w:type="paragraph" w:styleId="Textodeglobo">
    <w:name w:val="Balloon Text"/>
    <w:basedOn w:val="Normal"/>
    <w:link w:val="TextodegloboCar"/>
    <w:uiPriority w:val="99"/>
    <w:semiHidden/>
    <w:unhideWhenUsed/>
    <w:rsid w:val="00880FA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80FA4"/>
    <w:rPr>
      <w:rFonts w:ascii="Tahoma" w:hAnsi="Tahoma" w:cs="Tahoma"/>
      <w:sz w:val="16"/>
      <w:szCs w:val="16"/>
    </w:rPr>
  </w:style>
  <w:style w:type="paragraph" w:customStyle="1" w:styleId="Default">
    <w:name w:val="Default"/>
    <w:rsid w:val="00880FA4"/>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955900">
      <w:bodyDiv w:val="1"/>
      <w:marLeft w:val="0"/>
      <w:marRight w:val="0"/>
      <w:marTop w:val="0"/>
      <w:marBottom w:val="0"/>
      <w:divBdr>
        <w:top w:val="none" w:sz="0" w:space="0" w:color="auto"/>
        <w:left w:val="none" w:sz="0" w:space="0" w:color="auto"/>
        <w:bottom w:val="none" w:sz="0" w:space="0" w:color="auto"/>
        <w:right w:val="none" w:sz="0" w:space="0" w:color="auto"/>
      </w:divBdr>
    </w:div>
    <w:div w:id="750542202">
      <w:bodyDiv w:val="1"/>
      <w:marLeft w:val="0"/>
      <w:marRight w:val="0"/>
      <w:marTop w:val="0"/>
      <w:marBottom w:val="0"/>
      <w:divBdr>
        <w:top w:val="none" w:sz="0" w:space="0" w:color="auto"/>
        <w:left w:val="none" w:sz="0" w:space="0" w:color="auto"/>
        <w:bottom w:val="none" w:sz="0" w:space="0" w:color="auto"/>
        <w:right w:val="none" w:sz="0" w:space="0" w:color="auto"/>
      </w:divBdr>
    </w:div>
    <w:div w:id="1875775414">
      <w:bodyDiv w:val="1"/>
      <w:marLeft w:val="0"/>
      <w:marRight w:val="0"/>
      <w:marTop w:val="0"/>
      <w:marBottom w:val="0"/>
      <w:divBdr>
        <w:top w:val="none" w:sz="0" w:space="0" w:color="auto"/>
        <w:left w:val="none" w:sz="0" w:space="0" w:color="auto"/>
        <w:bottom w:val="none" w:sz="0" w:space="0" w:color="auto"/>
        <w:right w:val="none" w:sz="0" w:space="0" w:color="auto"/>
      </w:divBdr>
    </w:div>
    <w:div w:id="1982612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10</Pages>
  <Words>2048</Words>
  <Characters>11268</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SC</dc:creator>
  <cp:keywords/>
  <dc:description/>
  <cp:lastModifiedBy>A SC</cp:lastModifiedBy>
  <cp:revision>1</cp:revision>
  <dcterms:created xsi:type="dcterms:W3CDTF">2019-08-15T01:50:00Z</dcterms:created>
  <dcterms:modified xsi:type="dcterms:W3CDTF">2019-08-15T02:00:00Z</dcterms:modified>
</cp:coreProperties>
</file>